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40"/>
      </w:pPr>
      <w:r>
        <w:rPr>
          <w:sz w:val="2"/>
          <w:szCs w:val="2"/>
        </w:rPr>
        <w:t xml:space="preserve"/>
      </w:r>
    </w:p>
    <w:p>
      <w:pPr>
        <w:pStyle w:val="Eyebrow"/>
        <w:spacing w:after="200"/>
      </w:pPr>
      <w:r>
        <w:t xml:space="preserve">THE BUILDING UNDERSTANDING STANDARD</w:t>
      </w:r>
    </w:p>
    <w:p>
      <w:pPr>
        <w:spacing w:after="100" w:line="600"/>
      </w:pPr>
      <w:r>
        <w:rPr>
          <w:rFonts w:ascii="Georgia" w:cs="Georgia" w:eastAsia="Georgia" w:hAnsi="Georgia"/>
          <w:color w:val="1A1D21"/>
          <w:sz w:val="62"/>
          <w:szCs w:val="62"/>
        </w:rPr>
        <w:t xml:space="preserve">BUS-1</w:t>
      </w:r>
    </w:p>
    <w:p>
      <w:pPr>
        <w:spacing w:after="70" w:line="420"/>
      </w:pPr>
      <w:r>
        <w:rPr>
          <w:rFonts w:ascii="Georgia" w:cs="Georgia" w:eastAsia="Georgia" w:hAnsi="Georgia"/>
          <w:color w:val="1A1D21"/>
          <w:sz w:val="36"/>
          <w:szCs w:val="36"/>
        </w:rPr>
        <w:t xml:space="preserve">Core Information Model,</w:t>
      </w:r>
    </w:p>
    <w:p>
      <w:pPr>
        <w:spacing w:after="70" w:line="420"/>
      </w:pPr>
      <w:r>
        <w:rPr>
          <w:rFonts w:ascii="Georgia" w:cs="Georgia" w:eastAsia="Georgia" w:hAnsi="Georgia"/>
          <w:color w:val="1A1D21"/>
          <w:sz w:val="36"/>
          <w:szCs w:val="36"/>
        </w:rPr>
        <w:t xml:space="preserve">Portable Presentation,</w:t>
      </w:r>
    </w:p>
    <w:p>
      <w:pPr>
        <w:spacing w:after="280" w:line="420"/>
      </w:pPr>
      <w:r>
        <w:rPr>
          <w:rFonts w:ascii="Georgia" w:cs="Georgia" w:eastAsia="Georgia" w:hAnsi="Georgia"/>
          <w:color w:val="1A1D21"/>
          <w:sz w:val="36"/>
          <w:szCs w:val="36"/>
        </w:rPr>
        <w:t xml:space="preserve">and Exchange Package</w:t>
      </w:r>
    </w:p>
    <w:p>
      <w:pPr>
        <w:pBdr>
          <w:bottom w:val="single" w:color="8C6D46" w:sz="12" w:space="6"/>
        </w:pBdr>
        <w:spacing w:after="240" w:before="0"/>
      </w:pPr>
      <w:r>
        <w:rPr>
          <w:sz w:val="2"/>
          <w:szCs w:val="2"/>
        </w:rPr>
        <w:t xml:space="preserve"/>
      </w:r>
    </w:p>
    <w:p>
      <w:pPr>
        <w:spacing w:after="140" w:line="320"/>
      </w:pPr>
      <w:r>
        <w:rPr>
          <w:rFonts w:ascii="Calibri" w:cs="Calibri" w:eastAsia="Calibri" w:hAnsi="Calibri"/>
          <w:color w:val="2E3238"/>
          <w:sz w:val="24"/>
          <w:szCs w:val="24"/>
        </w:rPr>
        <w:t xml:space="preserve">Part 1 of the Building Understanding Standard</w:t>
      </w:r>
    </w:p>
    <w:p>
      <w:pPr>
        <w:spacing w:after="0"/>
      </w:pPr>
      <w:r>
        <w:rPr>
          <w:rFonts w:ascii="Calibri" w:cs="Calibri" w:eastAsia="Calibri" w:hAnsi="Calibri"/>
          <w:color w:val="70757C"/>
          <w:spacing w:val="12"/>
          <w:sz w:val="18"/>
          <w:szCs w:val="18"/>
        </w:rPr>
        <w:t xml:space="preserve">Version 0.2   ·   Working Draft   ·   July 2026</w:t>
      </w:r>
    </w:p>
    <w:p>
      <w:pPr>
        <w:spacing w:after="880"/>
      </w:pPr>
      <w:r>
        <w:rPr>
          <w:sz w:val="2"/>
          <w:szCs w:val="2"/>
        </w:rPr>
        <w:t xml:space="preserve"/>
      </w:r>
    </w:p>
    <w:tbl>
      <w:tblPr>
        <w:tblW w:type="dxa" w:w="907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17191D" w:color="auto" w:val="clear"/>
            <w:tcMar>
              <w:top w:type="dxa" w:w="340"/>
              <w:left w:type="dxa" w:w="340"/>
              <w:bottom w:type="dxa" w:w="340"/>
              <w:right w:type="dxa" w:w="340"/>
            </w:tcMar>
          </w:tcPr>
          <w:p>
            <w:pPr>
              <w:spacing w:after="160" w:line="340"/>
            </w:pPr>
            <w:r>
              <w:rPr>
                <w:rFonts w:ascii="Georgia" w:cs="Georgia" w:eastAsia="Georgia" w:hAnsi="Georgia"/>
                <w:color w:val="FFFFFF"/>
                <w:sz w:val="24"/>
                <w:szCs w:val="24"/>
              </w:rPr>
              <w:t xml:space="preserve">The vendor keeps everything a user sees and feels. The owner keeps everything a draftsman or engineer decided.</w:t>
            </w:r>
          </w:p>
          <w:p>
            <w:pPr>
              <w:spacing w:after="0"/>
            </w:pPr>
            <w:r>
              <w:rPr>
                <w:rFonts w:ascii="Calibri" w:cs="Calibri" w:eastAsia="Calibri" w:hAnsi="Calibri"/>
                <w:b/>
                <w:bCs/>
                <w:color w:val="C9A97A"/>
                <w:spacing w:val="40"/>
                <w:sz w:val="15"/>
                <w:szCs w:val="15"/>
              </w:rPr>
              <w:t xml:space="preserve">THE BOUNDARY TEST, APPLIED TO GRAPHICS</w:t>
            </w:r>
          </w:p>
        </w:tc>
      </w:tr>
    </w:tbl>
    <w:p>
      <w:pPr>
        <w:spacing w:after="720"/>
      </w:pPr>
      <w:r>
        <w:rPr>
          <w:sz w:val="2"/>
          <w:szCs w:val="2"/>
        </w:rPr>
        <w:t xml:space="preserve"/>
      </w:r>
    </w:p>
    <w:p>
      <w:pPr>
        <w:pBdr>
          <w:top w:val="single" w:color="D9D4C9" w:sz="4" w:space="10"/>
        </w:pBdr>
        <w:spacing w:after="0"/>
      </w:pPr>
      <w:r>
        <w:rPr>
          <w:rFonts w:ascii="Calibri" w:cs="Calibri" w:eastAsia="Calibri" w:hAnsi="Calibri"/>
          <w:b/>
          <w:bCs/>
          <w:color w:val="70757C"/>
          <w:spacing w:val="30"/>
          <w:sz w:val="15"/>
          <w:szCs w:val="15"/>
        </w:rPr>
        <w:t xml:space="preserve">WORKING DRAFT FOR IMPLEMENTER REVIEW — NOT FOR PROCUREMENT USE</w:t>
      </w:r>
    </w:p>
    <w:p>
      <w:r>
        <w:br w:type="page"/>
      </w:r>
    </w:p>
    <w:p>
      <w:pPr>
        <w:pStyle w:val="Heading1"/>
        <w:spacing w:after="200" w:before="0"/>
      </w:pPr>
      <w:r>
        <w:t xml:space="preserve">Status of this document</w:t>
      </w:r>
    </w:p>
    <w:p>
      <w:pPr>
        <w:pStyle w:val="BodyCopy"/>
      </w:pPr>
      <w:r>
        <w:t xml:space="preserve">This is version 0.2 of BUS-1, the first part of the Building Understanding Standard. It is a working draft published for implementer review. It has not been ratified by any standards body, and no governance body has yet been constituted to hold it.</w:t>
      </w:r>
    </w:p>
    <w:p>
      <w:pPr>
        <w:pStyle w:val="BodyCopy"/>
      </w:pPr>
      <w:r>
        <w:t xml:space="preserve">Version 0.2 consolidates two independently drafted v0.1 specifications and the working sessions that reconciled them. The substantive change from v0.1 is that </w:t>
      </w:r>
      <w:r>
        <w:rPr>
          <w:b/>
          <w:bCs/>
          <w:color w:val="1A1D21"/>
        </w:rPr>
        <w:t xml:space="preserve">portable presentation is now part of the core</w:t>
      </w:r>
      <w:r>
        <w:t xml:space="preserve"> rather than deferred, together with alarm definitions, events, a party model, and a requirement that every property carry a definition. Every design decision, including the alternatives rejected, is recorded in the companion Decision Record.</w:t>
      </w:r>
    </w:p>
    <w:p>
      <w:pPr>
        <w:pStyle w:val="BodyCopy"/>
      </w:pPr>
      <w:r>
        <w:t xml:space="preserve">A reference implementation accompanies this draft and passes the Annex A suite in self-round-trip. Building it fed three clarifications back into this text — the newer-MINOR schema leniency noted in 18.2, the permitted envelope differences of 17.5, and the typed-model warning of 17.4 — which is the direction of travel a working draft should have.</w:t>
      </w:r>
    </w:p>
    <w:p>
      <w:pPr>
        <w:pStyle w:val="BodyCopy"/>
      </w:pPr>
      <w:r>
        <w:t xml:space="preserve">Schema identifiers, namespace URIs, and the media type used in this draft are </w:t>
      </w:r>
      <w:r>
        <w:rPr>
          <w:b/>
          <w:bCs/>
          <w:color w:val="1A1D21"/>
        </w:rPr>
        <w:t xml:space="preserve">provisional</w:t>
      </w:r>
      <w:r>
        <w:t xml:space="preserve">. They resolve to a placeholder authority and will be reassigned when a governance body exists. Implementations </w:t>
      </w:r>
      <w:r>
        <w:rPr>
          <w:b/>
          <w:bCs/>
          <w:color w:val="8C6D46"/>
        </w:rPr>
        <w:t xml:space="preserve">SHOULD</w:t>
      </w:r>
      <w:r>
        <w:t xml:space="preserve"> treat them as opaque strings and </w:t>
      </w:r>
      <w:r>
        <w:rPr>
          <w:b/>
          <w:bCs/>
          <w:color w:val="8C6D46"/>
        </w:rPr>
        <w:t xml:space="preserve">MUST NOT</w:t>
      </w:r>
      <w:r>
        <w:t xml:space="preserve"> hard-code retrieval from them.</w:t>
      </w:r>
    </w:p>
    <w:p>
      <w:pPr>
        <w:pStyle w:val="Heading2"/>
        <w:spacing w:after="140" w:before="320"/>
      </w:pPr>
      <w:r>
        <w:t xml:space="preserve">Reading the maturity labels</w:t>
      </w:r>
    </w:p>
    <w:p>
      <w:pPr>
        <w:pStyle w:val="BodyCopy"/>
      </w:pPr>
      <w:r>
        <w:t xml:space="preserve">Every clause carries a maturity label. A draft that asserts uniform normativity across eighty pages overclaims, and it makes review harder because a reviewer cannot tell where an opinion is wanted.</w:t>
      </w:r>
    </w:p>
    <w:p>
      <w:pPr>
        <w:pStyle w:val="BulletCopy"/>
        <w:numPr>
          <w:ilvl w:val="0"/>
          <w:numId w:val="2"/>
        </w:numPr>
      </w:pPr>
      <w:r>
        <w:rPr>
          <w:b/>
          <w:bCs/>
          <w:color w:val="1A1D21"/>
        </w:rPr>
        <w:t xml:space="preserve">AGREED</w:t>
      </w:r>
      <w:r>
        <w:t xml:space="preserve"> — </w:t>
      </w:r>
      <w:r>
        <w:t xml:space="preserve">settled in working session and stable enough to build against. Reversing it would invalidate work already done.</w:t>
      </w:r>
    </w:p>
    <w:p>
      <w:pPr>
        <w:pStyle w:val="BulletCopy"/>
        <w:numPr>
          <w:ilvl w:val="0"/>
          <w:numId w:val="2"/>
        </w:numPr>
      </w:pPr>
      <w:r>
        <w:rPr>
          <w:b/>
          <w:bCs/>
          <w:color w:val="1A1D21"/>
        </w:rPr>
        <w:t xml:space="preserve">PROVISIONAL</w:t>
      </w:r>
      <w:r>
        <w:t xml:space="preserve"> — </w:t>
      </w:r>
      <w:r>
        <w:t xml:space="preserve">decided, but on thin evidence. Expected to be challenged by the first real implementation, and the place review effort is most valuable.</w:t>
      </w:r>
    </w:p>
    <w:p>
      <w:pPr>
        <w:pStyle w:val="BulletCopy"/>
        <w:numPr>
          <w:ilvl w:val="0"/>
          <w:numId w:val="2"/>
        </w:numPr>
      </w:pPr>
      <w:r>
        <w:rPr>
          <w:b/>
          <w:bCs/>
          <w:color w:val="1A1D21"/>
        </w:rPr>
        <w:t xml:space="preserve">OPEN</w:t>
      </w:r>
      <w:r>
        <w:t xml:space="preserve"> — </w:t>
      </w:r>
      <w:r>
        <w:t xml:space="preserve">named because the decision is pending and its absence is load-bearing. A reader who assumes it was considered and settled would be wrong.</w:t>
      </w:r>
    </w:p>
    <w:p>
      <w:pPr>
        <w:pStyle w:val="Heading2"/>
        <w:spacing w:after="140" w:before="320"/>
      </w:pPr>
      <w:r>
        <w:t xml:space="preserve">Editorial conventions</w:t>
      </w:r>
    </w:p>
    <w:p>
      <w:pPr>
        <w:pStyle w:val="BodyCopy"/>
      </w:pPr>
      <w:r>
        <w:t xml:space="preserve">This document and its companions use </w:t>
      </w:r>
      <w:r>
        <w:rPr>
          <w:b/>
          <w:bCs/>
          <w:color w:val="1A1D21"/>
        </w:rPr>
        <w:t xml:space="preserve">US English</w:t>
      </w:r>
      <w:r>
        <w:t xml:space="preserve"> throughout, in prose and in identifiers. Contributors should not introduce British forms; a specification that spells the same word two ways invites the reader to wonder what else is inconsistent.</w:t>
      </w:r>
    </w:p>
    <w:p>
      <w:pPr>
        <w:pStyle w:val="BodyCopy"/>
      </w:pPr>
      <w:r>
        <w:t xml:space="preserve">Two deliberate exceptions are retained as terms of art, and both appear in schema identifiers as well as prose:</w:t>
      </w:r>
    </w:p>
    <w:p>
      <w:pPr>
        <w:pStyle w:val="BulletCopy"/>
        <w:numPr>
          <w:ilvl w:val="0"/>
          <w:numId w:val="2"/>
        </w:numPr>
      </w:pPr>
      <w:r>
        <w:rPr>
          <w:rFonts w:ascii="Consolas" w:cs="Consolas" w:eastAsia="Consolas" w:hAnsi="Consolas"/>
          <w:color w:val="1A1D21"/>
          <w:sz w:val="18"/>
          <w:szCs w:val="18"/>
          <w:shd w:fill="F2F1ED" w:color="auto" w:val="clear"/>
        </w:rPr>
        <w:t xml:space="preserve">storey</w:t>
      </w:r>
      <w:r>
        <w:t xml:space="preserve"> — </w:t>
      </w:r>
      <w:r>
        <w:t xml:space="preserve">kept rather than </w:t>
      </w:r>
      <w:r>
        <w:rPr>
          <w:i/>
          <w:iCs/>
        </w:rPr>
        <w:t xml:space="preserve">story</w:t>
      </w:r>
      <w:r>
        <w:t xml:space="preserve">, following </w:t>
      </w:r>
      <w:r>
        <w:rPr>
          <w:rFonts w:ascii="Consolas" w:cs="Consolas" w:eastAsia="Consolas" w:hAnsi="Consolas"/>
          <w:color w:val="1A1D21"/>
          <w:sz w:val="18"/>
          <w:szCs w:val="18"/>
          <w:shd w:fill="F2F1ED" w:color="auto" w:val="clear"/>
        </w:rPr>
        <w:t xml:space="preserve">IfcBuildingStorey</w:t>
      </w:r>
      <w:r>
        <w:t xml:space="preserve"> in ISO 16739-1, and because </w:t>
      </w:r>
      <w:r>
        <w:rPr>
          <w:i/>
          <w:iCs/>
        </w:rPr>
        <w:t xml:space="preserve">story</w:t>
      </w:r>
      <w:r>
        <w:t xml:space="preserve"> is ambiguous in a document that also discusses narrative records. Appears as a </w:t>
      </w:r>
      <w:r>
        <w:rPr>
          <w:rFonts w:ascii="Consolas" w:cs="Consolas" w:eastAsia="Consolas" w:hAnsi="Consolas"/>
          <w:color w:val="1A1D21"/>
          <w:sz w:val="18"/>
          <w:szCs w:val="18"/>
          <w:shd w:fill="F2F1ED" w:color="auto" w:val="clear"/>
        </w:rPr>
        <w:t xml:space="preserve">spaceKind</w:t>
      </w:r>
      <w:r>
        <w:t xml:space="preserve"> value and in </w:t>
      </w:r>
      <w:r>
        <w:rPr>
          <w:rFonts w:ascii="Consolas" w:cs="Consolas" w:eastAsia="Consolas" w:hAnsi="Consolas"/>
          <w:color w:val="1A1D21"/>
          <w:sz w:val="18"/>
          <w:szCs w:val="18"/>
          <w:shd w:fill="F2F1ED" w:color="auto" w:val="clear"/>
        </w:rPr>
        <w:t xml:space="preserve">storeysAboveGround</w:t>
      </w:r>
      <w:r>
        <w:t xml:space="preserve">.</w:t>
      </w:r>
    </w:p>
    <w:p>
      <w:pPr>
        <w:pStyle w:val="BulletCopy"/>
        <w:numPr>
          <w:ilvl w:val="0"/>
          <w:numId w:val="2"/>
        </w:numPr>
      </w:pPr>
      <w:r>
        <w:rPr>
          <w:rFonts w:ascii="Consolas" w:cs="Consolas" w:eastAsia="Consolas" w:hAnsi="Consolas"/>
          <w:color w:val="1A1D21"/>
          <w:sz w:val="18"/>
          <w:szCs w:val="18"/>
          <w:shd w:fill="F2F1ED" w:color="auto" w:val="clear"/>
        </w:rPr>
        <w:t xml:space="preserve">.buspkg</w:t>
      </w:r>
      <w:r>
        <w:rPr>
          <w:b/>
          <w:bCs/>
          <w:color w:val="1A1D21"/>
        </w:rPr>
        <w:t xml:space="preserve">, </w:t>
      </w:r>
      <w:r>
        <w:rPr>
          <w:rFonts w:ascii="Consolas" w:cs="Consolas" w:eastAsia="Consolas" w:hAnsi="Consolas"/>
          <w:color w:val="1A1D21"/>
          <w:sz w:val="18"/>
          <w:szCs w:val="18"/>
          <w:shd w:fill="F2F1ED" w:color="auto" w:val="clear"/>
        </w:rPr>
        <w:t xml:space="preserve">bus:</w:t>
      </w:r>
      <w:r>
        <w:rPr>
          <w:b/>
          <w:bCs/>
          <w:color w:val="1A1D21"/>
        </w:rPr>
        <w:t xml:space="preserve"> and all schema field names</w:t>
      </w:r>
      <w:r>
        <w:t xml:space="preserve"> — </w:t>
      </w:r>
      <w:r>
        <w:t xml:space="preserve">lowerCamelCase and case-sensitive. These are identifiers, not words, and are never re-spelled to match prose conventions.</w:t>
      </w:r>
    </w:p>
    <w:p>
      <w:pPr>
        <w:pStyle w:val="BodyCopy"/>
      </w:pPr>
      <w:r>
        <w:t xml:space="preserve">Requirement keywords are printed in a distinguishing color as a review aid; color carries no meaning and capitalization does. Inline code, schema field names, and enumeration values are set in a monospaced face.</w:t>
      </w:r>
    </w:p>
    <w:p>
      <w:pPr>
        <w:pStyle w:val="Heading2"/>
        <w:spacing w:after="140" w:before="320"/>
      </w:pPr>
      <w:r>
        <w:t xml:space="preserve">Relationship to the Founding Charter</w:t>
      </w:r>
    </w:p>
    <w:p>
      <w:pPr>
        <w:pStyle w:val="BodyCopy"/>
      </w:pPr>
      <w:r>
        <w:t xml:space="preserve">The Founding Charter states the commitments. This document specifies how they are met. Where the two disagree, the charter states the intent and this document is at fault.</w:t>
      </w:r>
    </w:p>
    <w:p>
      <w:pPr>
        <w:pStyle w:val="BodyCopy"/>
      </w:pPr>
      <w:r>
        <w:t xml:space="preserve">Four charter commitments carry directly into normative requirements here, and are the ones most likely to be quietly broken by an implementation that otherwise validates:</w:t>
      </w:r>
    </w:p>
    <w:p>
      <w:pPr>
        <w:pStyle w:val="BulletCopy"/>
        <w:numPr>
          <w:ilvl w:val="0"/>
          <w:numId w:val="2"/>
        </w:numPr>
      </w:pPr>
      <w:r>
        <w:rPr>
          <w:b/>
          <w:bCs/>
          <w:color w:val="1A1D21"/>
        </w:rPr>
        <w:t xml:space="preserve">The reconstruction guarantee</w:t>
      </w:r>
      <w:r>
        <w:t xml:space="preserve"> — </w:t>
      </w:r>
      <w:r>
        <w:t xml:space="preserve">a compliant package must be sufficient on its own — 2.4.</w:t>
      </w:r>
    </w:p>
    <w:p>
      <w:pPr>
        <w:pStyle w:val="BulletCopy"/>
        <w:numPr>
          <w:ilvl w:val="0"/>
          <w:numId w:val="2"/>
        </w:numPr>
      </w:pPr>
      <w:r>
        <w:rPr>
          <w:b/>
          <w:bCs/>
          <w:color w:val="1A1D21"/>
        </w:rPr>
        <w:t xml:space="preserve">Import and export symmetry</w:t>
      </w:r>
      <w:r>
        <w:t xml:space="preserve"> — </w:t>
      </w:r>
      <w:r>
        <w:t xml:space="preserve">a system may not export less than it needs to operate — 2.4 and test EX-4.</w:t>
      </w:r>
    </w:p>
    <w:p>
      <w:pPr>
        <w:pStyle w:val="BulletCopy"/>
        <w:numPr>
          <w:ilvl w:val="0"/>
          <w:numId w:val="2"/>
        </w:numPr>
      </w:pPr>
      <w:r>
        <w:rPr>
          <w:b/>
          <w:bCs/>
          <w:color w:val="1A1D21"/>
        </w:rPr>
        <w:t xml:space="preserve">No lowest-common-denominator dump</w:t>
      </w:r>
      <w:r>
        <w:t xml:space="preserve"> — </w:t>
      </w:r>
      <w:r>
        <w:t xml:space="preserve">omission is permitted, silent omission is not — 16.6.</w:t>
      </w:r>
    </w:p>
    <w:p>
      <w:pPr>
        <w:pStyle w:val="BulletCopy"/>
        <w:numPr>
          <w:ilvl w:val="0"/>
          <w:numId w:val="2"/>
        </w:numPr>
      </w:pPr>
      <w:r>
        <w:rPr>
          <w:b/>
          <w:bCs/>
          <w:color w:val="1A1D21"/>
        </w:rPr>
        <w:t xml:space="preserve">Portability of representation</w:t>
      </w:r>
      <w:r>
        <w:t xml:space="preserve"> — </w:t>
      </w:r>
      <w:r>
        <w:t xml:space="preserve">geometry, semantic element identity, and bindings are owner assets and travel; appearance does not — clause 13.</w:t>
      </w:r>
    </w:p>
    <w:p>
      <w:r>
        <w:br w:type="page"/>
      </w:r>
    </w:p>
    <w:p>
      <w:pPr>
        <w:pStyle w:val="Heading1"/>
        <w:spacing w:after="240" w:before="0"/>
      </w:pPr>
      <w:r>
        <w:t xml:space="preserve">Contents</w:t>
      </w:r>
    </w:p>
    <w:p>
      <w:pPr>
        <w:tabs>
          <w:tab w:val="left" w:pos="640"/>
        </w:tabs>
        <w:spacing w:after="70"/>
        <w:ind w:left="0"/>
      </w:pPr>
      <w:r>
        <w:rPr>
          <w:rFonts w:ascii="Georgia" w:cs="Georgia" w:eastAsia="Georgia" w:hAnsi="Georgia"/>
          <w:color w:val="8C6D46"/>
          <w:sz w:val="19"/>
          <w:szCs w:val="19"/>
        </w:rPr>
        <w:t xml:space="preserve">1</w:t>
      </w:r>
      <w:r>
        <w:rPr>
          <w:rFonts w:ascii="Calibri" w:cs="Calibri" w:eastAsia="Calibri" w:hAnsi="Calibri"/>
          <w:sz w:val="19"/>
          <w:szCs w:val="19"/>
        </w:rPr>
        <w:t xml:space="preserve">	</w:t>
      </w:r>
      <w:r>
        <w:rPr>
          <w:rFonts w:ascii="Calibri" w:cs="Calibri" w:eastAsia="Calibri" w:hAnsi="Calibri"/>
          <w:color w:val="2E3238"/>
          <w:sz w:val="19"/>
          <w:szCs w:val="19"/>
        </w:rPr>
        <w:t xml:space="preserve">Scope</w:t>
      </w:r>
    </w:p>
    <w:p>
      <w:pPr>
        <w:tabs>
          <w:tab w:val="left" w:pos="640"/>
        </w:tabs>
        <w:spacing w:after="70"/>
        <w:ind w:left="0"/>
      </w:pPr>
      <w:r>
        <w:rPr>
          <w:rFonts w:ascii="Georgia" w:cs="Georgia" w:eastAsia="Georgia" w:hAnsi="Georgia"/>
          <w:color w:val="8C6D46"/>
          <w:sz w:val="19"/>
          <w:szCs w:val="19"/>
        </w:rPr>
        <w:t xml:space="preserve">2</w:t>
      </w:r>
      <w:r>
        <w:rPr>
          <w:rFonts w:ascii="Calibri" w:cs="Calibri" w:eastAsia="Calibri" w:hAnsi="Calibri"/>
          <w:sz w:val="19"/>
          <w:szCs w:val="19"/>
        </w:rPr>
        <w:t xml:space="preserve">	</w:t>
      </w:r>
      <w:r>
        <w:rPr>
          <w:rFonts w:ascii="Calibri" w:cs="Calibri" w:eastAsia="Calibri" w:hAnsi="Calibri"/>
          <w:color w:val="2E3238"/>
          <w:sz w:val="19"/>
          <w:szCs w:val="19"/>
        </w:rPr>
        <w:t xml:space="preserve">Conformance</w:t>
      </w:r>
    </w:p>
    <w:p>
      <w:pPr>
        <w:tabs>
          <w:tab w:val="left" w:pos="640"/>
        </w:tabs>
        <w:spacing w:after="70"/>
        <w:ind w:left="0"/>
      </w:pPr>
      <w:r>
        <w:rPr>
          <w:rFonts w:ascii="Georgia" w:cs="Georgia" w:eastAsia="Georgia" w:hAnsi="Georgia"/>
          <w:color w:val="8C6D46"/>
          <w:sz w:val="19"/>
          <w:szCs w:val="19"/>
        </w:rPr>
        <w:t xml:space="preserve">3</w:t>
      </w:r>
      <w:r>
        <w:rPr>
          <w:rFonts w:ascii="Calibri" w:cs="Calibri" w:eastAsia="Calibri" w:hAnsi="Calibri"/>
          <w:sz w:val="19"/>
          <w:szCs w:val="19"/>
        </w:rPr>
        <w:t xml:space="preserve">	</w:t>
      </w:r>
      <w:r>
        <w:rPr>
          <w:rFonts w:ascii="Calibri" w:cs="Calibri" w:eastAsia="Calibri" w:hAnsi="Calibri"/>
          <w:color w:val="2E3238"/>
          <w:sz w:val="19"/>
          <w:szCs w:val="19"/>
        </w:rPr>
        <w:t xml:space="preserve">Normative references</w:t>
      </w:r>
    </w:p>
    <w:p>
      <w:pPr>
        <w:tabs>
          <w:tab w:val="left" w:pos="640"/>
        </w:tabs>
        <w:spacing w:after="70"/>
        <w:ind w:left="0"/>
      </w:pPr>
      <w:r>
        <w:rPr>
          <w:rFonts w:ascii="Georgia" w:cs="Georgia" w:eastAsia="Georgia" w:hAnsi="Georgia"/>
          <w:color w:val="8C6D46"/>
          <w:sz w:val="19"/>
          <w:szCs w:val="19"/>
        </w:rPr>
        <w:t xml:space="preserve">4</w:t>
      </w:r>
      <w:r>
        <w:rPr>
          <w:rFonts w:ascii="Calibri" w:cs="Calibri" w:eastAsia="Calibri" w:hAnsi="Calibri"/>
          <w:sz w:val="19"/>
          <w:szCs w:val="19"/>
        </w:rPr>
        <w:t xml:space="preserve">	</w:t>
      </w:r>
      <w:r>
        <w:rPr>
          <w:rFonts w:ascii="Calibri" w:cs="Calibri" w:eastAsia="Calibri" w:hAnsi="Calibri"/>
          <w:color w:val="2E3238"/>
          <w:sz w:val="19"/>
          <w:szCs w:val="19"/>
        </w:rPr>
        <w:t xml:space="preserve">Terms and definitions</w:t>
      </w:r>
    </w:p>
    <w:p>
      <w:pPr>
        <w:tabs>
          <w:tab w:val="left" w:pos="640"/>
        </w:tabs>
        <w:spacing w:after="70"/>
        <w:ind w:left="0"/>
      </w:pPr>
      <w:r>
        <w:rPr>
          <w:rFonts w:ascii="Georgia" w:cs="Georgia" w:eastAsia="Georgia" w:hAnsi="Georgia"/>
          <w:color w:val="8C6D46"/>
          <w:sz w:val="19"/>
          <w:szCs w:val="19"/>
        </w:rPr>
        <w:t xml:space="preserve">5</w:t>
      </w:r>
      <w:r>
        <w:rPr>
          <w:rFonts w:ascii="Calibri" w:cs="Calibri" w:eastAsia="Calibri" w:hAnsi="Calibri"/>
          <w:sz w:val="19"/>
          <w:szCs w:val="19"/>
        </w:rPr>
        <w:t xml:space="preserve">	</w:t>
      </w:r>
      <w:r>
        <w:rPr>
          <w:rFonts w:ascii="Calibri" w:cs="Calibri" w:eastAsia="Calibri" w:hAnsi="Calibri"/>
          <w:color w:val="2E3238"/>
          <w:sz w:val="19"/>
          <w:szCs w:val="19"/>
        </w:rPr>
        <w:t xml:space="preserve">Architecture and design rules</w:t>
      </w:r>
    </w:p>
    <w:p>
      <w:pPr>
        <w:tabs>
          <w:tab w:val="left" w:pos="640"/>
        </w:tabs>
        <w:spacing w:after="70"/>
        <w:ind w:left="0"/>
      </w:pPr>
      <w:r>
        <w:rPr>
          <w:rFonts w:ascii="Georgia" w:cs="Georgia" w:eastAsia="Georgia" w:hAnsi="Georgia"/>
          <w:color w:val="8C6D46"/>
          <w:sz w:val="19"/>
          <w:szCs w:val="19"/>
        </w:rPr>
        <w:t xml:space="preserve">6</w:t>
      </w:r>
      <w:r>
        <w:rPr>
          <w:rFonts w:ascii="Calibri" w:cs="Calibri" w:eastAsia="Calibri" w:hAnsi="Calibri"/>
          <w:sz w:val="19"/>
          <w:szCs w:val="19"/>
        </w:rPr>
        <w:t xml:space="preserve">	</w:t>
      </w:r>
      <w:r>
        <w:rPr>
          <w:rFonts w:ascii="Calibri" w:cs="Calibri" w:eastAsia="Calibri" w:hAnsi="Calibri"/>
          <w:color w:val="2E3238"/>
          <w:sz w:val="19"/>
          <w:szCs w:val="19"/>
        </w:rPr>
        <w:t xml:space="preserve">Identity and addressing</w:t>
      </w:r>
    </w:p>
    <w:p>
      <w:pPr>
        <w:tabs>
          <w:tab w:val="left" w:pos="640"/>
        </w:tabs>
        <w:spacing w:after="70"/>
        <w:ind w:left="0"/>
      </w:pPr>
      <w:r>
        <w:rPr>
          <w:rFonts w:ascii="Georgia" w:cs="Georgia" w:eastAsia="Georgia" w:hAnsi="Georgia"/>
          <w:color w:val="8C6D46"/>
          <w:sz w:val="19"/>
          <w:szCs w:val="19"/>
        </w:rPr>
        <w:t xml:space="preserve">7</w:t>
      </w:r>
      <w:r>
        <w:rPr>
          <w:rFonts w:ascii="Calibri" w:cs="Calibri" w:eastAsia="Calibri" w:hAnsi="Calibri"/>
          <w:sz w:val="19"/>
          <w:szCs w:val="19"/>
        </w:rPr>
        <w:t xml:space="preserve">	</w:t>
      </w:r>
      <w:r>
        <w:rPr>
          <w:rFonts w:ascii="Calibri" w:cs="Calibri" w:eastAsia="Calibri" w:hAnsi="Calibri"/>
          <w:color w:val="2E3238"/>
          <w:sz w:val="19"/>
          <w:szCs w:val="19"/>
        </w:rPr>
        <w:t xml:space="preserve">Datatypes, properties, and semantics</w:t>
      </w:r>
    </w:p>
    <w:p>
      <w:pPr>
        <w:tabs>
          <w:tab w:val="left" w:pos="640"/>
        </w:tabs>
        <w:spacing w:after="70"/>
        <w:ind w:left="0"/>
      </w:pPr>
      <w:r>
        <w:rPr>
          <w:rFonts w:ascii="Georgia" w:cs="Georgia" w:eastAsia="Georgia" w:hAnsi="Georgia"/>
          <w:color w:val="8C6D46"/>
          <w:sz w:val="19"/>
          <w:szCs w:val="19"/>
        </w:rPr>
        <w:t xml:space="preserve">8</w:t>
      </w:r>
      <w:r>
        <w:rPr>
          <w:rFonts w:ascii="Calibri" w:cs="Calibri" w:eastAsia="Calibri" w:hAnsi="Calibri"/>
          <w:sz w:val="19"/>
          <w:szCs w:val="19"/>
        </w:rPr>
        <w:t xml:space="preserve">	</w:t>
      </w:r>
      <w:r>
        <w:rPr>
          <w:rFonts w:ascii="Calibri" w:cs="Calibri" w:eastAsia="Calibri" w:hAnsi="Calibri"/>
          <w:color w:val="2E3238"/>
          <w:sz w:val="19"/>
          <w:szCs w:val="19"/>
        </w:rPr>
        <w:t xml:space="preserve">The information model</w:t>
      </w:r>
    </w:p>
    <w:p>
      <w:pPr>
        <w:tabs>
          <w:tab w:val="left" w:pos="640"/>
        </w:tabs>
        <w:spacing w:after="70"/>
        <w:ind w:left="0"/>
      </w:pPr>
      <w:r>
        <w:rPr>
          <w:rFonts w:ascii="Georgia" w:cs="Georgia" w:eastAsia="Georgia" w:hAnsi="Georgia"/>
          <w:color w:val="8C6D46"/>
          <w:sz w:val="19"/>
          <w:szCs w:val="19"/>
        </w:rPr>
        <w:t xml:space="preserve">9</w:t>
      </w:r>
      <w:r>
        <w:rPr>
          <w:rFonts w:ascii="Calibri" w:cs="Calibri" w:eastAsia="Calibri" w:hAnsi="Calibri"/>
          <w:sz w:val="19"/>
          <w:szCs w:val="19"/>
        </w:rPr>
        <w:t xml:space="preserve">	</w:t>
      </w:r>
      <w:r>
        <w:rPr>
          <w:rFonts w:ascii="Calibri" w:cs="Calibri" w:eastAsia="Calibri" w:hAnsi="Calibri"/>
          <w:color w:val="2E3238"/>
          <w:sz w:val="19"/>
          <w:szCs w:val="19"/>
        </w:rPr>
        <w:t xml:space="preserve">Relationships</w:t>
      </w:r>
    </w:p>
    <w:p>
      <w:pPr>
        <w:tabs>
          <w:tab w:val="left" w:pos="640"/>
        </w:tabs>
        <w:spacing w:after="70"/>
        <w:ind w:left="0"/>
      </w:pPr>
      <w:r>
        <w:rPr>
          <w:rFonts w:ascii="Georgia" w:cs="Georgia" w:eastAsia="Georgia" w:hAnsi="Georgia"/>
          <w:color w:val="8C6D46"/>
          <w:sz w:val="19"/>
          <w:szCs w:val="19"/>
        </w:rPr>
        <w:t xml:space="preserve">10</w:t>
      </w:r>
      <w:r>
        <w:rPr>
          <w:rFonts w:ascii="Calibri" w:cs="Calibri" w:eastAsia="Calibri" w:hAnsi="Calibri"/>
          <w:sz w:val="19"/>
          <w:szCs w:val="19"/>
        </w:rPr>
        <w:t xml:space="preserve">	</w:t>
      </w:r>
      <w:r>
        <w:rPr>
          <w:rFonts w:ascii="Calibri" w:cs="Calibri" w:eastAsia="Calibri" w:hAnsi="Calibri"/>
          <w:color w:val="2E3238"/>
          <w:sz w:val="19"/>
          <w:szCs w:val="19"/>
        </w:rPr>
        <w:t xml:space="preserve">Operational intent</w:t>
      </w:r>
    </w:p>
    <w:p>
      <w:pPr>
        <w:tabs>
          <w:tab w:val="left" w:pos="640"/>
        </w:tabs>
        <w:spacing w:after="70"/>
        <w:ind w:left="0"/>
      </w:pPr>
      <w:r>
        <w:rPr>
          <w:rFonts w:ascii="Georgia" w:cs="Georgia" w:eastAsia="Georgia" w:hAnsi="Georgia"/>
          <w:color w:val="8C6D46"/>
          <w:sz w:val="19"/>
          <w:szCs w:val="19"/>
        </w:rPr>
        <w:t xml:space="preserve">11</w:t>
      </w:r>
      <w:r>
        <w:rPr>
          <w:rFonts w:ascii="Calibri" w:cs="Calibri" w:eastAsia="Calibri" w:hAnsi="Calibri"/>
          <w:sz w:val="19"/>
          <w:szCs w:val="19"/>
        </w:rPr>
        <w:t xml:space="preserve">	</w:t>
      </w:r>
      <w:r>
        <w:rPr>
          <w:rFonts w:ascii="Calibri" w:cs="Calibri" w:eastAsia="Calibri" w:hAnsi="Calibri"/>
          <w:color w:val="2E3238"/>
          <w:sz w:val="19"/>
          <w:szCs w:val="19"/>
        </w:rPr>
        <w:t xml:space="preserve">Alarms</w:t>
      </w:r>
    </w:p>
    <w:p>
      <w:pPr>
        <w:tabs>
          <w:tab w:val="left" w:pos="640"/>
        </w:tabs>
        <w:spacing w:after="70"/>
        <w:ind w:left="0"/>
      </w:pPr>
      <w:r>
        <w:rPr>
          <w:rFonts w:ascii="Georgia" w:cs="Georgia" w:eastAsia="Georgia" w:hAnsi="Georgia"/>
          <w:color w:val="8C6D46"/>
          <w:sz w:val="19"/>
          <w:szCs w:val="19"/>
        </w:rPr>
        <w:t xml:space="preserve">12</w:t>
      </w:r>
      <w:r>
        <w:rPr>
          <w:rFonts w:ascii="Calibri" w:cs="Calibri" w:eastAsia="Calibri" w:hAnsi="Calibri"/>
          <w:sz w:val="19"/>
          <w:szCs w:val="19"/>
        </w:rPr>
        <w:t xml:space="preserve">	</w:t>
      </w:r>
      <w:r>
        <w:rPr>
          <w:rFonts w:ascii="Calibri" w:cs="Calibri" w:eastAsia="Calibri" w:hAnsi="Calibri"/>
          <w:color w:val="2E3238"/>
          <w:sz w:val="19"/>
          <w:szCs w:val="19"/>
        </w:rPr>
        <w:t xml:space="preserve">Events</w:t>
      </w:r>
    </w:p>
    <w:p>
      <w:pPr>
        <w:tabs>
          <w:tab w:val="left" w:pos="640"/>
        </w:tabs>
        <w:spacing w:after="70"/>
        <w:ind w:left="0"/>
      </w:pPr>
      <w:r>
        <w:rPr>
          <w:rFonts w:ascii="Georgia" w:cs="Georgia" w:eastAsia="Georgia" w:hAnsi="Georgia"/>
          <w:color w:val="8C6D46"/>
          <w:sz w:val="19"/>
          <w:szCs w:val="19"/>
        </w:rPr>
        <w:t xml:space="preserve">13</w:t>
      </w:r>
      <w:r>
        <w:rPr>
          <w:rFonts w:ascii="Calibri" w:cs="Calibri" w:eastAsia="Calibri" w:hAnsi="Calibri"/>
          <w:sz w:val="19"/>
          <w:szCs w:val="19"/>
        </w:rPr>
        <w:t xml:space="preserve">	</w:t>
      </w:r>
      <w:r>
        <w:rPr>
          <w:rFonts w:ascii="Calibri" w:cs="Calibri" w:eastAsia="Calibri" w:hAnsi="Calibri"/>
          <w:color w:val="2E3238"/>
          <w:sz w:val="19"/>
          <w:szCs w:val="19"/>
        </w:rPr>
        <w:t xml:space="preserve">Portable presentation</w:t>
      </w:r>
    </w:p>
    <w:p>
      <w:pPr>
        <w:tabs>
          <w:tab w:val="left" w:pos="640"/>
        </w:tabs>
        <w:spacing w:after="70"/>
        <w:ind w:left="0"/>
      </w:pPr>
      <w:r>
        <w:rPr>
          <w:rFonts w:ascii="Georgia" w:cs="Georgia" w:eastAsia="Georgia" w:hAnsi="Georgia"/>
          <w:color w:val="8C6D46"/>
          <w:sz w:val="19"/>
          <w:szCs w:val="19"/>
        </w:rPr>
        <w:t xml:space="preserve">14</w:t>
      </w:r>
      <w:r>
        <w:rPr>
          <w:rFonts w:ascii="Calibri" w:cs="Calibri" w:eastAsia="Calibri" w:hAnsi="Calibri"/>
          <w:sz w:val="19"/>
          <w:szCs w:val="19"/>
        </w:rPr>
        <w:t xml:space="preserve">	</w:t>
      </w:r>
      <w:r>
        <w:rPr>
          <w:rFonts w:ascii="Calibri" w:cs="Calibri" w:eastAsia="Calibri" w:hAnsi="Calibri"/>
          <w:color w:val="2E3238"/>
          <w:sz w:val="19"/>
          <w:szCs w:val="19"/>
        </w:rPr>
        <w:t xml:space="preserve">Provenance and governance</w:t>
      </w:r>
    </w:p>
    <w:p>
      <w:pPr>
        <w:tabs>
          <w:tab w:val="left" w:pos="640"/>
        </w:tabs>
        <w:spacing w:after="70"/>
        <w:ind w:left="0"/>
      </w:pPr>
      <w:r>
        <w:rPr>
          <w:rFonts w:ascii="Georgia" w:cs="Georgia" w:eastAsia="Georgia" w:hAnsi="Georgia"/>
          <w:color w:val="8C6D46"/>
          <w:sz w:val="19"/>
          <w:szCs w:val="19"/>
        </w:rPr>
        <w:t xml:space="preserve">15</w:t>
      </w:r>
      <w:r>
        <w:rPr>
          <w:rFonts w:ascii="Calibri" w:cs="Calibri" w:eastAsia="Calibri" w:hAnsi="Calibri"/>
          <w:sz w:val="19"/>
          <w:szCs w:val="19"/>
        </w:rPr>
        <w:t xml:space="preserve">	</w:t>
      </w:r>
      <w:r>
        <w:rPr>
          <w:rFonts w:ascii="Calibri" w:cs="Calibri" w:eastAsia="Calibri" w:hAnsi="Calibri"/>
          <w:color w:val="2E3238"/>
          <w:sz w:val="19"/>
          <w:szCs w:val="19"/>
        </w:rPr>
        <w:t xml:space="preserve">Extensions</w:t>
      </w:r>
    </w:p>
    <w:p>
      <w:pPr>
        <w:tabs>
          <w:tab w:val="left" w:pos="640"/>
        </w:tabs>
        <w:spacing w:after="70"/>
        <w:ind w:left="0"/>
      </w:pPr>
      <w:r>
        <w:rPr>
          <w:rFonts w:ascii="Georgia" w:cs="Georgia" w:eastAsia="Georgia" w:hAnsi="Georgia"/>
          <w:color w:val="8C6D46"/>
          <w:sz w:val="19"/>
          <w:szCs w:val="19"/>
        </w:rPr>
        <w:t xml:space="preserve">16</w:t>
      </w:r>
      <w:r>
        <w:rPr>
          <w:rFonts w:ascii="Calibri" w:cs="Calibri" w:eastAsia="Calibri" w:hAnsi="Calibri"/>
          <w:sz w:val="19"/>
          <w:szCs w:val="19"/>
        </w:rPr>
        <w:t xml:space="preserve">	</w:t>
      </w:r>
      <w:r>
        <w:rPr>
          <w:rFonts w:ascii="Calibri" w:cs="Calibri" w:eastAsia="Calibri" w:hAnsi="Calibri"/>
          <w:color w:val="2E3238"/>
          <w:sz w:val="19"/>
          <w:szCs w:val="19"/>
        </w:rPr>
        <w:t xml:space="preserve">The exchange package</w:t>
      </w:r>
    </w:p>
    <w:p>
      <w:pPr>
        <w:tabs>
          <w:tab w:val="left" w:pos="640"/>
        </w:tabs>
        <w:spacing w:after="70"/>
        <w:ind w:left="0"/>
      </w:pPr>
      <w:r>
        <w:rPr>
          <w:rFonts w:ascii="Georgia" w:cs="Georgia" w:eastAsia="Georgia" w:hAnsi="Georgia"/>
          <w:color w:val="8C6D46"/>
          <w:sz w:val="19"/>
          <w:szCs w:val="19"/>
        </w:rPr>
        <w:t xml:space="preserve">17</w:t>
      </w:r>
      <w:r>
        <w:rPr>
          <w:rFonts w:ascii="Calibri" w:cs="Calibri" w:eastAsia="Calibri" w:hAnsi="Calibri"/>
          <w:sz w:val="19"/>
          <w:szCs w:val="19"/>
        </w:rPr>
        <w:t xml:space="preserve">	</w:t>
      </w:r>
      <w:r>
        <w:rPr>
          <w:rFonts w:ascii="Calibri" w:cs="Calibri" w:eastAsia="Calibri" w:hAnsi="Calibri"/>
          <w:color w:val="2E3238"/>
          <w:sz w:val="19"/>
          <w:szCs w:val="19"/>
        </w:rPr>
        <w:t xml:space="preserve">The JSON binding</w:t>
      </w:r>
    </w:p>
    <w:p>
      <w:pPr>
        <w:tabs>
          <w:tab w:val="left" w:pos="640"/>
        </w:tabs>
        <w:spacing w:after="70"/>
        <w:ind w:left="0"/>
      </w:pPr>
      <w:r>
        <w:rPr>
          <w:rFonts w:ascii="Georgia" w:cs="Georgia" w:eastAsia="Georgia" w:hAnsi="Georgia"/>
          <w:color w:val="8C6D46"/>
          <w:sz w:val="19"/>
          <w:szCs w:val="19"/>
        </w:rPr>
        <w:t xml:space="preserve">18</w:t>
      </w:r>
      <w:r>
        <w:rPr>
          <w:rFonts w:ascii="Calibri" w:cs="Calibri" w:eastAsia="Calibri" w:hAnsi="Calibri"/>
          <w:sz w:val="19"/>
          <w:szCs w:val="19"/>
        </w:rPr>
        <w:t xml:space="preserve">	</w:t>
      </w:r>
      <w:r>
        <w:rPr>
          <w:rFonts w:ascii="Calibri" w:cs="Calibri" w:eastAsia="Calibri" w:hAnsi="Calibri"/>
          <w:color w:val="2E3238"/>
          <w:sz w:val="19"/>
          <w:szCs w:val="19"/>
        </w:rPr>
        <w:t xml:space="preserve">Versioning and compatibility</w:t>
      </w:r>
    </w:p>
    <w:p>
      <w:pPr>
        <w:tabs>
          <w:tab w:val="left" w:pos="640"/>
        </w:tabs>
        <w:spacing w:after="70"/>
        <w:ind w:left="0"/>
      </w:pPr>
      <w:r>
        <w:rPr>
          <w:rFonts w:ascii="Georgia" w:cs="Georgia" w:eastAsia="Georgia" w:hAnsi="Georgia"/>
          <w:color w:val="8C6D46"/>
          <w:sz w:val="19"/>
          <w:szCs w:val="19"/>
        </w:rPr>
        <w:t xml:space="preserve">19</w:t>
      </w:r>
      <w:r>
        <w:rPr>
          <w:rFonts w:ascii="Calibri" w:cs="Calibri" w:eastAsia="Calibri" w:hAnsi="Calibri"/>
          <w:sz w:val="19"/>
          <w:szCs w:val="19"/>
        </w:rPr>
        <w:t xml:space="preserve">	</w:t>
      </w:r>
      <w:r>
        <w:rPr>
          <w:rFonts w:ascii="Calibri" w:cs="Calibri" w:eastAsia="Calibri" w:hAnsi="Calibri"/>
          <w:color w:val="2E3238"/>
          <w:sz w:val="19"/>
          <w:szCs w:val="19"/>
        </w:rPr>
        <w:t xml:space="preserve">Security, privacy, and integrity</w:t>
      </w:r>
    </w:p>
    <w:p>
      <w:pPr>
        <w:tabs>
          <w:tab w:val="left" w:pos="640"/>
        </w:tabs>
        <w:spacing w:after="70"/>
        <w:ind w:left="0"/>
      </w:pPr>
      <w:r>
        <w:rPr>
          <w:rFonts w:ascii="Georgia" w:cs="Georgia" w:eastAsia="Georgia" w:hAnsi="Georgia"/>
          <w:color w:val="8C6D46"/>
          <w:sz w:val="19"/>
          <w:szCs w:val="19"/>
        </w:rPr>
        <w:t xml:space="preserve">20</w:t>
      </w:r>
      <w:r>
        <w:rPr>
          <w:rFonts w:ascii="Calibri" w:cs="Calibri" w:eastAsia="Calibri" w:hAnsi="Calibri"/>
          <w:sz w:val="19"/>
          <w:szCs w:val="19"/>
        </w:rPr>
        <w:t xml:space="preserve">	</w:t>
      </w:r>
      <w:r>
        <w:rPr>
          <w:rFonts w:ascii="Calibri" w:cs="Calibri" w:eastAsia="Calibri" w:hAnsi="Calibri"/>
          <w:color w:val="2E3238"/>
          <w:sz w:val="19"/>
          <w:szCs w:val="19"/>
        </w:rPr>
        <w:t xml:space="preserve">Relationship to existing work</w:t>
      </w:r>
    </w:p>
    <w:p>
      <w:pPr>
        <w:spacing w:after="240"/>
      </w:pPr>
      <w:r>
        <w:rPr>
          <w:sz w:val="2"/>
          <w:szCs w:val="2"/>
        </w:rPr>
        <w:t xml:space="preserve"/>
      </w:r>
    </w:p>
    <w:p>
      <w:pPr>
        <w:tabs>
          <w:tab w:val="left" w:pos="640"/>
        </w:tabs>
        <w:spacing w:after="70"/>
        <w:ind w:left="0"/>
      </w:pPr>
      <w:r>
        <w:rPr>
          <w:rFonts w:ascii="Georgia" w:cs="Georgia" w:eastAsia="Georgia" w:hAnsi="Georgia"/>
          <w:color w:val="8C6D46"/>
          <w:sz w:val="19"/>
          <w:szCs w:val="19"/>
        </w:rPr>
        <w:t xml:space="preserve">A</w:t>
      </w:r>
      <w:r>
        <w:rPr>
          <w:rFonts w:ascii="Calibri" w:cs="Calibri" w:eastAsia="Calibri" w:hAnsi="Calibri"/>
          <w:sz w:val="19"/>
          <w:szCs w:val="19"/>
        </w:rPr>
        <w:t xml:space="preserve">	</w:t>
      </w:r>
      <w:r>
        <w:rPr>
          <w:rFonts w:ascii="Calibri" w:cs="Calibri" w:eastAsia="Calibri" w:hAnsi="Calibri"/>
          <w:color w:val="2E3238"/>
          <w:sz w:val="19"/>
          <w:szCs w:val="19"/>
        </w:rPr>
        <w:t xml:space="preserve">Conformance test suite outline (normative)</w:t>
      </w:r>
    </w:p>
    <w:p>
      <w:pPr>
        <w:tabs>
          <w:tab w:val="left" w:pos="640"/>
        </w:tabs>
        <w:spacing w:after="70"/>
        <w:ind w:left="0"/>
      </w:pPr>
      <w:r>
        <w:rPr>
          <w:rFonts w:ascii="Georgia" w:cs="Georgia" w:eastAsia="Georgia" w:hAnsi="Georgia"/>
          <w:color w:val="8C6D46"/>
          <w:sz w:val="19"/>
          <w:szCs w:val="19"/>
        </w:rPr>
        <w:t xml:space="preserve">B</w:t>
      </w:r>
      <w:r>
        <w:rPr>
          <w:rFonts w:ascii="Calibri" w:cs="Calibri" w:eastAsia="Calibri" w:hAnsi="Calibri"/>
          <w:sz w:val="19"/>
          <w:szCs w:val="19"/>
        </w:rPr>
        <w:t xml:space="preserve">	</w:t>
      </w:r>
      <w:r>
        <w:rPr>
          <w:rFonts w:ascii="Calibri" w:cs="Calibri" w:eastAsia="Calibri" w:hAnsi="Calibri"/>
          <w:color w:val="2E3238"/>
          <w:sz w:val="19"/>
          <w:szCs w:val="19"/>
        </w:rPr>
        <w:t xml:space="preserve">Symbol role vocabulary, tier one (normative)</w:t>
      </w:r>
    </w:p>
    <w:p>
      <w:pPr>
        <w:tabs>
          <w:tab w:val="left" w:pos="640"/>
        </w:tabs>
        <w:spacing w:after="70"/>
        <w:ind w:left="0"/>
      </w:pPr>
      <w:r>
        <w:rPr>
          <w:rFonts w:ascii="Georgia" w:cs="Georgia" w:eastAsia="Georgia" w:hAnsi="Georgia"/>
          <w:color w:val="8C6D46"/>
          <w:sz w:val="19"/>
          <w:szCs w:val="19"/>
        </w:rPr>
        <w:t xml:space="preserve">C</w:t>
      </w:r>
      <w:r>
        <w:rPr>
          <w:rFonts w:ascii="Calibri" w:cs="Calibri" w:eastAsia="Calibri" w:hAnsi="Calibri"/>
          <w:sz w:val="19"/>
          <w:szCs w:val="19"/>
        </w:rPr>
        <w:t xml:space="preserve">	</w:t>
      </w:r>
      <w:r>
        <w:rPr>
          <w:rFonts w:ascii="Calibri" w:cs="Calibri" w:eastAsia="Calibri" w:hAnsi="Calibri"/>
          <w:color w:val="2E3238"/>
          <w:sz w:val="19"/>
          <w:szCs w:val="19"/>
        </w:rPr>
        <w:t xml:space="preserve">Unit codes (normative)</w:t>
      </w:r>
    </w:p>
    <w:p>
      <w:pPr>
        <w:tabs>
          <w:tab w:val="left" w:pos="640"/>
        </w:tabs>
        <w:spacing w:after="70"/>
        <w:ind w:left="0"/>
      </w:pPr>
      <w:r>
        <w:rPr>
          <w:rFonts w:ascii="Georgia" w:cs="Georgia" w:eastAsia="Georgia" w:hAnsi="Georgia"/>
          <w:color w:val="8C6D46"/>
          <w:sz w:val="19"/>
          <w:szCs w:val="19"/>
        </w:rPr>
        <w:t xml:space="preserve">D</w:t>
      </w:r>
      <w:r>
        <w:rPr>
          <w:rFonts w:ascii="Calibri" w:cs="Calibri" w:eastAsia="Calibri" w:hAnsi="Calibri"/>
          <w:sz w:val="19"/>
          <w:szCs w:val="19"/>
        </w:rPr>
        <w:t xml:space="preserve">	</w:t>
      </w:r>
      <w:r>
        <w:rPr>
          <w:rFonts w:ascii="Calibri" w:cs="Calibri" w:eastAsia="Calibri" w:hAnsi="Calibri"/>
          <w:color w:val="2E3238"/>
          <w:sz w:val="19"/>
          <w:szCs w:val="19"/>
        </w:rPr>
        <w:t xml:space="preserve">Worked example (informative)</w:t>
      </w:r>
    </w:p>
    <w:p>
      <w:pPr>
        <w:tabs>
          <w:tab w:val="left" w:pos="640"/>
        </w:tabs>
        <w:spacing w:after="70"/>
        <w:ind w:left="0"/>
      </w:pPr>
      <w:r>
        <w:rPr>
          <w:rFonts w:ascii="Georgia" w:cs="Georgia" w:eastAsia="Georgia" w:hAnsi="Georgia"/>
          <w:color w:val="8C6D46"/>
          <w:sz w:val="19"/>
          <w:szCs w:val="19"/>
        </w:rPr>
        <w:t xml:space="preserve">E</w:t>
      </w:r>
      <w:r>
        <w:rPr>
          <w:rFonts w:ascii="Calibri" w:cs="Calibri" w:eastAsia="Calibri" w:hAnsi="Calibri"/>
          <w:sz w:val="19"/>
          <w:szCs w:val="19"/>
        </w:rPr>
        <w:t xml:space="preserve">	</w:t>
      </w:r>
      <w:r>
        <w:rPr>
          <w:rFonts w:ascii="Calibri" w:cs="Calibri" w:eastAsia="Calibri" w:hAnsi="Calibri"/>
          <w:color w:val="2E3238"/>
          <w:sz w:val="19"/>
          <w:szCs w:val="19"/>
        </w:rPr>
        <w:t xml:space="preserve">Schema files (informative)</w:t>
      </w:r>
    </w:p>
    <w:p>
      <w:pPr>
        <w:tabs>
          <w:tab w:val="left" w:pos="640"/>
        </w:tabs>
        <w:spacing w:after="70"/>
        <w:ind w:left="0"/>
      </w:pPr>
      <w:r>
        <w:rPr>
          <w:rFonts w:ascii="Georgia" w:cs="Georgia" w:eastAsia="Georgia" w:hAnsi="Georgia"/>
          <w:color w:val="8C6D46"/>
          <w:sz w:val="19"/>
          <w:szCs w:val="19"/>
        </w:rPr>
        <w:t xml:space="preserve">F</w:t>
      </w:r>
      <w:r>
        <w:rPr>
          <w:rFonts w:ascii="Calibri" w:cs="Calibri" w:eastAsia="Calibri" w:hAnsi="Calibri"/>
          <w:sz w:val="19"/>
          <w:szCs w:val="19"/>
        </w:rPr>
        <w:t xml:space="preserve">	</w:t>
      </w:r>
      <w:r>
        <w:rPr>
          <w:rFonts w:ascii="Calibri" w:cs="Calibri" w:eastAsia="Calibri" w:hAnsi="Calibri"/>
          <w:color w:val="2E3238"/>
          <w:sz w:val="19"/>
          <w:szCs w:val="19"/>
        </w:rPr>
        <w:t xml:space="preserve">Open issues for version 0.3 (informative)</w:t>
      </w:r>
    </w:p>
    <w:p>
      <w:r>
        <w:br w:type="page"/>
      </w:r>
    </w:p>
    <w:p>
      <w:pPr>
        <w:pStyle w:val="Heading1"/>
      </w:pPr>
      <w:r>
        <w:rPr>
          <w:rFonts w:ascii="Georgia" w:cs="Georgia" w:eastAsia="Georgia" w:hAnsi="Georgia"/>
          <w:color w:val="8C6D46"/>
        </w:rPr>
        <w:t xml:space="preserve">1</w:t>
      </w:r>
      <w:r>
        <w:t xml:space="preserve">  </w:t>
      </w:r>
      <w:r>
        <w:t xml:space="preserve">Scope</w:t>
      </w:r>
    </w:p>
    <w:p>
      <w:pPr>
        <w:spacing w:after="160" w:before="0"/>
      </w:pPr>
      <w:r>
        <w:rPr>
          <w:rFonts w:ascii="Calibri" w:cs="Calibri" w:eastAsia="Calibri" w:hAnsi="Calibri"/>
          <w:b/>
          <w:bCs/>
          <w:color w:val="8C6D46"/>
          <w:spacing w:val="40"/>
          <w:sz w:val="14"/>
          <w:szCs w:val="14"/>
        </w:rPr>
        <w:t xml:space="preserve">AGREED</w:t>
      </w:r>
    </w:p>
    <w:p>
      <w:pPr>
        <w:pStyle w:val="Heading2"/>
      </w:pPr>
      <w:r>
        <w:rPr>
          <w:color w:val="8C6D46"/>
        </w:rPr>
        <w:t xml:space="preserve">1.1</w:t>
      </w:r>
      <w:r>
        <w:t xml:space="preserve">  </w:t>
      </w:r>
      <w:r>
        <w:t xml:space="preserve">Purpose</w:t>
      </w:r>
    </w:p>
    <w:p>
      <w:pPr>
        <w:pStyle w:val="BodyCopy"/>
      </w:pPr>
      <w:r>
        <w:t xml:space="preserve">This document specifies a vendor-neutral information model for the operational understanding of a building, a portable model for the graphics through which that building is operated, and a package format for moving both between systems without loss of meaning.</w:t>
      </w:r>
    </w:p>
    <w:p>
      <w:pPr>
        <w:pStyle w:val="BodyCopy"/>
      </w:pPr>
      <w:r>
        <w:t xml:space="preserve">Its object is not interoperability at run time. Systems that exchange live values already have protocols for that. Its object is </w:t>
      </w:r>
      <w:r>
        <w:rPr>
          <w:b/>
          <w:bCs/>
          <w:color w:val="1A1D21"/>
        </w:rPr>
        <w:t xml:space="preserve">continuity</w:t>
      </w:r>
      <w:r>
        <w:t xml:space="preserve">: the ability of a building owner to take the accumulated understanding of a building out of one system and stand it up in another, years or decades later, without the cooperation of the system it came from.</w:t>
      </w:r>
    </w:p>
    <w:p>
      <w:pPr>
        <w:pStyle w:val="Heading2"/>
      </w:pPr>
      <w:r>
        <w:rPr>
          <w:color w:val="8C6D46"/>
        </w:rPr>
        <w:t xml:space="preserve">1.2</w:t>
      </w:r>
      <w:r>
        <w:t xml:space="preserve">  </w:t>
      </w:r>
      <w:r>
        <w:t xml:space="preserve">What this version specifies</w:t>
      </w:r>
    </w:p>
    <w:p>
      <w:pPr>
        <w:pStyle w:val="BulletCopy"/>
        <w:numPr>
          <w:ilvl w:val="0"/>
          <w:numId w:val="2"/>
        </w:numPr>
      </w:pPr>
      <w:r>
        <w:t xml:space="preserve">An encoding-neutral information model for building identity, spatial structure, systems and assets, points, typed relationships, operational intent, alarms, events, and provenance (clauses 6 to 14).</w:t>
      </w:r>
    </w:p>
    <w:p>
      <w:pPr>
        <w:pStyle w:val="BulletCopy"/>
        <w:numPr>
          <w:ilvl w:val="0"/>
          <w:numId w:val="2"/>
        </w:numPr>
      </w:pPr>
      <w:r>
        <w:t xml:space="preserve">A portable presentation model: drawings, coordinate systems and georeferencing, layers, elements with symbol roles or embedded figures, and bindings including command actions (clause 13).</w:t>
      </w:r>
    </w:p>
    <w:p>
      <w:pPr>
        <w:pStyle w:val="BulletCopy"/>
        <w:numPr>
          <w:ilvl w:val="0"/>
          <w:numId w:val="2"/>
        </w:numPr>
      </w:pPr>
      <w:r>
        <w:t xml:space="preserve">A requirement that every property carry a definition declaring its datatype, unit, and meaning (7.8).</w:t>
      </w:r>
    </w:p>
    <w:p>
      <w:pPr>
        <w:pStyle w:val="BulletCopy"/>
        <w:numPr>
          <w:ilvl w:val="0"/>
          <w:numId w:val="2"/>
        </w:numPr>
      </w:pPr>
      <w:r>
        <w:t xml:space="preserve">A governed extension mechanism, including the rules that keep an extension from being silently discarded (clause 15).</w:t>
      </w:r>
    </w:p>
    <w:p>
      <w:pPr>
        <w:pStyle w:val="BulletCopy"/>
        <w:numPr>
          <w:ilvl w:val="0"/>
          <w:numId w:val="2"/>
        </w:numPr>
      </w:pPr>
      <w:r>
        <w:t xml:space="preserve">An exchange package: container, manifest, integrity, an actuation declaration, and a mandatory completeness declaration (clause 16).</w:t>
      </w:r>
    </w:p>
    <w:p>
      <w:pPr>
        <w:pStyle w:val="BulletCopy"/>
        <w:numPr>
          <w:ilvl w:val="0"/>
          <w:numId w:val="2"/>
        </w:numPr>
      </w:pPr>
      <w:r>
        <w:t xml:space="preserve">A JSON binding with schema documents and a canonical form (clause 17), and conformance profiles and round-trip test methodology (clause 2, Annex A).</w:t>
      </w:r>
    </w:p>
    <w:p>
      <w:pPr>
        <w:pStyle w:val="Heading2"/>
      </w:pPr>
      <w:r>
        <w:rPr>
          <w:color w:val="8C6D46"/>
        </w:rPr>
        <w:t xml:space="preserve">1.3</w:t>
      </w:r>
      <w:r>
        <w:t xml:space="preserve">  </w:t>
      </w:r>
      <w:r>
        <w:t xml:space="preserve">What is deferred</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2016"/>
        <w:gridCol w:w="4536"/>
        <w:gridCol w:w="2520"/>
      </w:tblGrid>
      <w:tr>
        <w:trPr>
          <w:cantSplit/>
          <w:tblHeader/>
        </w:trPr>
        <w:tc>
          <w:tcPr>
            <w:tcW w:type="dxa" w:w="2016"/>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Domain</w:t>
            </w:r>
          </w:p>
        </w:tc>
        <w:tc>
          <w:tcPr>
            <w:tcW w:type="dxa" w:w="4536"/>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In v0.2</w:t>
            </w:r>
          </w:p>
        </w:tc>
        <w:tc>
          <w:tcPr>
            <w:tcW w:type="dxa" w:w="252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Deferred to</w:t>
            </w:r>
          </w:p>
        </w:tc>
      </w:tr>
      <w:tr>
        <w:trPr>
          <w:cantSplit/>
        </w:trPr>
        <w:tc>
          <w:tcPr>
            <w:tcW w:type="dxa" w:w="2016"/>
            <w:shd w:fill="FFFFFF" w:color="auto" w:val="clear"/>
            <w:tcMar>
              <w:top w:type="dxa" w:w="120"/>
              <w:left w:type="dxa" w:w="160"/>
              <w:bottom w:type="dxa" w:w="120"/>
              <w:right w:type="dxa" w:w="160"/>
            </w:tcMar>
            <w:vAlign w:val="top"/>
          </w:tcPr>
          <w:p>
            <w:pPr>
              <w:spacing w:after="0" w:line="260"/>
            </w:pPr>
            <w:r>
              <w:rPr>
                <w:sz w:val="18"/>
                <w:szCs w:val="18"/>
              </w:rPr>
              <w:t xml:space="preserve">Time-series history</w:t>
            </w:r>
          </w:p>
        </w:tc>
        <w:tc>
          <w:tcPr>
            <w:tcW w:type="dxa" w:w="4536"/>
            <w:shd w:fill="FFFFFF" w:color="auto" w:val="clear"/>
            <w:tcMar>
              <w:top w:type="dxa" w:w="120"/>
              <w:left w:type="dxa" w:w="160"/>
              <w:bottom w:type="dxa" w:w="120"/>
              <w:right w:type="dxa" w:w="160"/>
            </w:tcMar>
            <w:vAlign w:val="top"/>
          </w:tcPr>
          <w:p>
            <w:pPr>
              <w:spacing w:after="0" w:line="260"/>
            </w:pPr>
            <w:r>
              <w:rPr>
                <w:sz w:val="18"/>
                <w:szCs w:val="18"/>
              </w:rPr>
              <w:t xml:space="preserve">Points declare whether durable history exists, its extent, and its nominal interval (8.8). Events, which are not time series, are core (clause 12).</w:t>
            </w:r>
          </w:p>
        </w:tc>
        <w:tc>
          <w:tcPr>
            <w:tcW w:type="dxa" w:w="2520"/>
            <w:shd w:fill="FFFFFF" w:color="auto" w:val="clear"/>
            <w:tcMar>
              <w:top w:type="dxa" w:w="120"/>
              <w:left w:type="dxa" w:w="160"/>
              <w:bottom w:type="dxa" w:w="120"/>
              <w:right w:type="dxa" w:w="160"/>
            </w:tcMar>
            <w:vAlign w:val="top"/>
          </w:tcPr>
          <w:p>
            <w:pPr>
              <w:spacing w:after="0" w:line="260"/>
            </w:pPr>
            <w:r>
              <w:rPr>
                <w:sz w:val="18"/>
                <w:szCs w:val="18"/>
              </w:rPr>
              <w:t xml:space="preserve">BUS-2, time series</w:t>
            </w:r>
          </w:p>
        </w:tc>
      </w:tr>
      <w:tr>
        <w:trPr>
          <w:cantSplit/>
        </w:trPr>
        <w:tc>
          <w:tcPr>
            <w:tcW w:type="dxa" w:w="2016"/>
            <w:shd w:fill="FAF9F6" w:color="auto" w:val="clear"/>
            <w:tcMar>
              <w:top w:type="dxa" w:w="120"/>
              <w:left w:type="dxa" w:w="160"/>
              <w:bottom w:type="dxa" w:w="120"/>
              <w:right w:type="dxa" w:w="160"/>
            </w:tcMar>
            <w:vAlign w:val="top"/>
          </w:tcPr>
          <w:p>
            <w:pPr>
              <w:spacing w:after="0" w:line="260"/>
            </w:pPr>
            <w:r>
              <w:rPr>
                <w:sz w:val="18"/>
                <w:szCs w:val="18"/>
              </w:rPr>
              <w:t xml:space="preserve">Structured knowledge</w:t>
            </w:r>
          </w:p>
        </w:tc>
        <w:tc>
          <w:tcPr>
            <w:tcW w:type="dxa" w:w="4536"/>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bus:KnowledgeNote</w:t>
            </w:r>
            <w:r>
              <w:rPr>
                <w:sz w:val="18"/>
                <w:szCs w:val="18"/>
              </w:rPr>
              <w:t xml:space="preserve"> carries free text with a kind, an author, a review state, and typed attachment predicates (8.9).</w:t>
            </w:r>
          </w:p>
        </w:tc>
        <w:tc>
          <w:tcPr>
            <w:tcW w:type="dxa" w:w="2520"/>
            <w:shd w:fill="FAF9F6" w:color="auto" w:val="clear"/>
            <w:tcMar>
              <w:top w:type="dxa" w:w="120"/>
              <w:left w:type="dxa" w:w="160"/>
              <w:bottom w:type="dxa" w:w="120"/>
              <w:right w:type="dxa" w:w="160"/>
            </w:tcMar>
            <w:vAlign w:val="top"/>
          </w:tcPr>
          <w:p>
            <w:pPr>
              <w:spacing w:after="0" w:line="260"/>
            </w:pPr>
            <w:r>
              <w:rPr>
                <w:sz w:val="18"/>
                <w:szCs w:val="18"/>
              </w:rPr>
              <w:t xml:space="preserve">BUS-2, structured knowledge types</w:t>
            </w:r>
          </w:p>
        </w:tc>
      </w:tr>
      <w:tr>
        <w:trPr>
          <w:cantSplit/>
        </w:trPr>
        <w:tc>
          <w:tcPr>
            <w:tcW w:type="dxa" w:w="2016"/>
            <w:shd w:fill="FFFFFF" w:color="auto" w:val="clear"/>
            <w:tcMar>
              <w:top w:type="dxa" w:w="120"/>
              <w:left w:type="dxa" w:w="160"/>
              <w:bottom w:type="dxa" w:w="120"/>
              <w:right w:type="dxa" w:w="160"/>
            </w:tcMar>
            <w:vAlign w:val="top"/>
          </w:tcPr>
          <w:p>
            <w:pPr>
              <w:spacing w:after="0" w:line="260"/>
            </w:pPr>
            <w:r>
              <w:rPr>
                <w:sz w:val="18"/>
                <w:szCs w:val="18"/>
              </w:rPr>
              <w:t xml:space="preserve">Vector figure format</w:t>
            </w:r>
          </w:p>
        </w:tc>
        <w:tc>
          <w:tcPr>
            <w:tcW w:type="dxa" w:w="4536"/>
            <w:shd w:fill="FFFFFF" w:color="auto" w:val="clear"/>
            <w:tcMar>
              <w:top w:type="dxa" w:w="120"/>
              <w:left w:type="dxa" w:w="160"/>
              <w:bottom w:type="dxa" w:w="120"/>
              <w:right w:type="dxa" w:w="160"/>
            </w:tcMar>
            <w:vAlign w:val="top"/>
          </w:tcPr>
          <w:p>
            <w:pPr>
              <w:spacing w:after="0" w:line="260"/>
            </w:pPr>
            <w:r>
              <w:rPr>
                <w:sz w:val="18"/>
                <w:szCs w:val="18"/>
              </w:rPr>
              <w:t xml:space="preserve">Elements may carry a </w:t>
            </w:r>
            <w:r>
              <w:rPr>
                <w:rFonts w:ascii="Consolas" w:cs="Consolas" w:eastAsia="Consolas" w:hAnsi="Consolas"/>
                <w:color w:val="1A1D21"/>
                <w:sz w:val="15"/>
                <w:szCs w:val="15"/>
                <w:shd w:fill="F2F1ED" w:color="auto" w:val="clear"/>
              </w:rPr>
              <w:t xml:space="preserve">figure</w:t>
            </w:r>
            <w:r>
              <w:rPr>
                <w:sz w:val="18"/>
                <w:szCs w:val="18"/>
              </w:rPr>
              <w:t xml:space="preserve"> payload. The neutral vector format </w:t>
            </w:r>
            <w:r>
              <w:rPr>
                <w:rFonts w:ascii="Consolas" w:cs="Consolas" w:eastAsia="Consolas" w:hAnsi="Consolas"/>
                <w:color w:val="1A1D21"/>
                <w:sz w:val="15"/>
                <w:szCs w:val="15"/>
                <w:shd w:fill="F2F1ED" w:color="auto" w:val="clear"/>
              </w:rPr>
              <w:t xml:space="preserve">bus-vector-1</w:t>
            </w:r>
            <w:r>
              <w:rPr>
                <w:sz w:val="18"/>
                <w:szCs w:val="18"/>
              </w:rPr>
              <w:t xml:space="preserve"> is named but not specified.</w:t>
            </w:r>
          </w:p>
        </w:tc>
        <w:tc>
          <w:tcPr>
            <w:tcW w:type="dxa" w:w="2520"/>
            <w:shd w:fill="FFFFFF" w:color="auto" w:val="clear"/>
            <w:tcMar>
              <w:top w:type="dxa" w:w="120"/>
              <w:left w:type="dxa" w:w="160"/>
              <w:bottom w:type="dxa" w:w="120"/>
              <w:right w:type="dxa" w:w="160"/>
            </w:tcMar>
            <w:vAlign w:val="top"/>
          </w:tcPr>
          <w:p>
            <w:pPr>
              <w:spacing w:after="0" w:line="260"/>
            </w:pPr>
            <w:r>
              <w:rPr>
                <w:sz w:val="18"/>
                <w:szCs w:val="18"/>
              </w:rPr>
              <w:t xml:space="preserve">BUS-2, figure format</w:t>
            </w:r>
          </w:p>
        </w:tc>
      </w:tr>
      <w:tr>
        <w:trPr>
          <w:cantSplit/>
        </w:trPr>
        <w:tc>
          <w:tcPr>
            <w:tcW w:type="dxa" w:w="2016"/>
            <w:shd w:fill="FAF9F6" w:color="auto" w:val="clear"/>
            <w:tcMar>
              <w:top w:type="dxa" w:w="120"/>
              <w:left w:type="dxa" w:w="160"/>
              <w:bottom w:type="dxa" w:w="120"/>
              <w:right w:type="dxa" w:w="160"/>
            </w:tcMar>
            <w:vAlign w:val="top"/>
          </w:tcPr>
          <w:p>
            <w:pPr>
              <w:spacing w:after="0" w:line="260"/>
            </w:pPr>
            <w:r>
              <w:rPr>
                <w:sz w:val="18"/>
                <w:szCs w:val="18"/>
              </w:rPr>
              <w:t xml:space="preserve">Analytic results</w:t>
            </w:r>
          </w:p>
        </w:tc>
        <w:tc>
          <w:tcPr>
            <w:tcW w:type="dxa" w:w="4536"/>
            <w:shd w:fill="FAF9F6" w:color="auto" w:val="clear"/>
            <w:tcMar>
              <w:top w:type="dxa" w:w="120"/>
              <w:left w:type="dxa" w:w="160"/>
              <w:bottom w:type="dxa" w:w="120"/>
              <w:right w:type="dxa" w:w="160"/>
            </w:tcMar>
            <w:vAlign w:val="top"/>
          </w:tcPr>
          <w:p>
            <w:pPr>
              <w:spacing w:after="0" w:line="260"/>
            </w:pPr>
            <w:r>
              <w:rPr>
                <w:sz w:val="18"/>
                <w:szCs w:val="18"/>
              </w:rPr>
              <w:t xml:space="preserve">The attachment interface is normative (clause 15). The internal shape of an insight, diagnosis, or forecast is not.</w:t>
            </w:r>
          </w:p>
        </w:tc>
        <w:tc>
          <w:tcPr>
            <w:tcW w:type="dxa" w:w="2520"/>
            <w:shd w:fill="FAF9F6" w:color="auto" w:val="clear"/>
            <w:tcMar>
              <w:top w:type="dxa" w:w="120"/>
              <w:left w:type="dxa" w:w="160"/>
              <w:bottom w:type="dxa" w:w="120"/>
              <w:right w:type="dxa" w:w="160"/>
            </w:tcMar>
            <w:vAlign w:val="top"/>
          </w:tcPr>
          <w:p>
            <w:pPr>
              <w:spacing w:after="0" w:line="260"/>
            </w:pPr>
            <w:r>
              <w:rPr>
                <w:sz w:val="18"/>
                <w:szCs w:val="18"/>
              </w:rPr>
              <w:t xml:space="preserve">BUS-4, analytic results</w:t>
            </w:r>
          </w:p>
        </w:tc>
      </w:tr>
    </w:tbl>
    <w:p>
      <w:pPr>
        <w:pStyle w:val="NoteCopy"/>
      </w:pPr>
      <w:r>
        <w:rPr>
          <w:b/>
          <w:bCs/>
          <w:color w:val="70757C"/>
          <w:sz w:val="18"/>
          <w:szCs w:val="18"/>
        </w:rPr>
        <w:t xml:space="preserve">NOTE </w:t>
      </w:r>
      <w:r>
        <w:rPr>
          <w:color w:val="70757C"/>
          <w:sz w:val="18"/>
          <w:szCs w:val="18"/>
        </w:rPr>
        <w:t xml:space="preserve">The figure format is the one place v0.2 knowingly names something it does not define. An element in figure mode is portable in principle and not yet portable in practice. Where a symbol role exists, use it.</w:t>
      </w:r>
    </w:p>
    <w:p>
      <w:pPr>
        <w:pStyle w:val="Heading2"/>
      </w:pPr>
      <w:r>
        <w:rPr>
          <w:color w:val="8C6D46"/>
        </w:rPr>
        <w:t xml:space="preserve">1.4</w:t>
      </w:r>
      <w:r>
        <w:t xml:space="preserve">  </w:t>
      </w:r>
      <w:r>
        <w:t xml:space="preserve">What is out of scope</w:t>
      </w:r>
    </w:p>
    <w:p>
      <w:pPr>
        <w:pStyle w:val="BulletCopy"/>
        <w:numPr>
          <w:ilvl w:val="0"/>
          <w:numId w:val="2"/>
        </w:numPr>
      </w:pPr>
      <w:r>
        <w:rPr>
          <w:b/>
          <w:bCs/>
          <w:color w:val="1A1D21"/>
        </w:rPr>
        <w:t xml:space="preserve">Field and transport protocols</w:t>
      </w:r>
      <w:r>
        <w:t xml:space="preserve"> — </w:t>
      </w:r>
      <w:r>
        <w:t xml:space="preserve">BUS-1 records how a point is reached (8.6). It does not define how to reach it.</w:t>
      </w:r>
    </w:p>
    <w:p>
      <w:pPr>
        <w:pStyle w:val="BulletCopy"/>
        <w:numPr>
          <w:ilvl w:val="0"/>
          <w:numId w:val="2"/>
        </w:numPr>
      </w:pPr>
      <w:r>
        <w:rPr>
          <w:b/>
          <w:bCs/>
          <w:color w:val="1A1D21"/>
        </w:rPr>
        <w:t xml:space="preserve">Proprietary method</w:t>
      </w:r>
      <w:r>
        <w:t xml:space="preserve"> — </w:t>
      </w:r>
      <w:r>
        <w:t xml:space="preserve">How a vendor arrives at a conclusion is not specified and not disclosed. Only the durable result is portable.</w:t>
      </w:r>
    </w:p>
    <w:p>
      <w:pPr>
        <w:pStyle w:val="BulletCopy"/>
        <w:numPr>
          <w:ilvl w:val="0"/>
          <w:numId w:val="2"/>
        </w:numPr>
      </w:pPr>
      <w:r>
        <w:rPr>
          <w:b/>
          <w:bCs/>
          <w:color w:val="1A1D21"/>
        </w:rPr>
        <w:t xml:space="preserve">Rendering and interaction</w:t>
      </w:r>
      <w:r>
        <w:t xml:space="preserve"> — </w:t>
      </w:r>
      <w:r>
        <w:t xml:space="preserve">No requirement constrains artwork, color, animation, transitions, typography, responsive layout, navigation design, or interaction model. Clause 13 is explicit about where this line falls.</w:t>
      </w:r>
    </w:p>
    <w:p>
      <w:pPr>
        <w:pStyle w:val="BulletCopy"/>
        <w:numPr>
          <w:ilvl w:val="0"/>
          <w:numId w:val="2"/>
        </w:numPr>
      </w:pPr>
      <w:r>
        <w:rPr>
          <w:b/>
          <w:bCs/>
          <w:color w:val="1A1D21"/>
        </w:rPr>
        <w:t xml:space="preserve">Three-dimensional geometry</w:t>
      </w:r>
      <w:r>
        <w:t xml:space="preserve"> — </w:t>
      </w:r>
      <w:r>
        <w:t xml:space="preserve">Presentation is two-dimensional. A 3D or BIM model is referenced as a resource. IFC already exists and is better at this.</w:t>
      </w:r>
    </w:p>
    <w:p>
      <w:pPr>
        <w:pStyle w:val="BulletCopy"/>
        <w:numPr>
          <w:ilvl w:val="0"/>
          <w:numId w:val="2"/>
        </w:numPr>
      </w:pPr>
      <w:r>
        <w:rPr>
          <w:b/>
          <w:bCs/>
          <w:color w:val="1A1D21"/>
        </w:rPr>
        <w:t xml:space="preserve">Equipment taxonomy</w:t>
      </w:r>
      <w:r>
        <w:t xml:space="preserve"> — </w:t>
      </w:r>
      <w:r>
        <w:t xml:space="preserve">A small structural class set, with external classifications preserved verbatim (7.7). Not intended to compete with the ontologies that define taxonomies.</w:t>
      </w:r>
    </w:p>
    <w:p>
      <w:pPr>
        <w:pStyle w:val="Heading1"/>
      </w:pPr>
      <w:r>
        <w:rPr>
          <w:rFonts w:ascii="Georgia" w:cs="Georgia" w:eastAsia="Georgia" w:hAnsi="Georgia"/>
          <w:color w:val="8C6D46"/>
        </w:rPr>
        <w:t xml:space="preserve">2</w:t>
      </w:r>
      <w:r>
        <w:t xml:space="preserve">  </w:t>
      </w:r>
      <w:r>
        <w:t xml:space="preserve">Conformance</w:t>
      </w:r>
    </w:p>
    <w:p>
      <w:pPr>
        <w:spacing w:after="160" w:before="0"/>
      </w:pPr>
      <w:r>
        <w:rPr>
          <w:rFonts w:ascii="Calibri" w:cs="Calibri" w:eastAsia="Calibri" w:hAnsi="Calibri"/>
          <w:b/>
          <w:bCs/>
          <w:color w:val="8C6D46"/>
          <w:spacing w:val="40"/>
          <w:sz w:val="14"/>
          <w:szCs w:val="14"/>
        </w:rPr>
        <w:t xml:space="preserve">AGREED</w:t>
      </w:r>
      <w:r>
        <w:t xml:space="preserve">   </w:t>
      </w:r>
      <w:r>
        <w:rPr>
          <w:i/>
          <w:iCs/>
          <w:color w:val="70757C"/>
          <w:sz w:val="17"/>
          <w:szCs w:val="17"/>
        </w:rPr>
        <w:t xml:space="preserve">Profile names and the reconstruction requirement are stable. The test suite of Annex A is normative as to what must be tested; fixtures are not yet published.</w:t>
      </w:r>
    </w:p>
    <w:p>
      <w:pPr>
        <w:pStyle w:val="Heading2"/>
      </w:pPr>
      <w:r>
        <w:rPr>
          <w:color w:val="8C6D46"/>
        </w:rPr>
        <w:t xml:space="preserve">2.1</w:t>
      </w:r>
      <w:r>
        <w:t xml:space="preserve">  </w:t>
      </w:r>
      <w:r>
        <w:t xml:space="preserve">Requirement keywords</w:t>
      </w:r>
    </w:p>
    <w:p>
      <w:pPr>
        <w:pStyle w:val="BodyCopy"/>
      </w:pPr>
      <w:r>
        <w:t xml:space="preserve">The key words </w:t>
      </w:r>
      <w:r>
        <w:rPr>
          <w:b/>
          <w:bCs/>
          <w:color w:val="8C6D46"/>
        </w:rPr>
        <w:t xml:space="preserve">MUST</w:t>
      </w:r>
      <w:r>
        <w:t xml:space="preserve">, </w:t>
      </w:r>
      <w:r>
        <w:rPr>
          <w:b/>
          <w:bCs/>
          <w:color w:val="8C6D46"/>
        </w:rPr>
        <w:t xml:space="preserve">MUST NOT</w:t>
      </w:r>
      <w:r>
        <w:t xml:space="preserve">, </w:t>
      </w:r>
      <w:r>
        <w:rPr>
          <w:b/>
          <w:bCs/>
          <w:color w:val="8C6D46"/>
        </w:rPr>
        <w:t xml:space="preserve">REQUIRED</w:t>
      </w:r>
      <w:r>
        <w:t xml:space="preserve">, </w:t>
      </w:r>
      <w:r>
        <w:rPr>
          <w:b/>
          <w:bCs/>
          <w:color w:val="8C6D46"/>
        </w:rPr>
        <w:t xml:space="preserve">SHALL</w:t>
      </w:r>
      <w:r>
        <w:t xml:space="preserve">, </w:t>
      </w:r>
      <w:r>
        <w:rPr>
          <w:b/>
          <w:bCs/>
          <w:color w:val="8C6D46"/>
        </w:rPr>
        <w:t xml:space="preserve">SHALL NOT</w:t>
      </w:r>
      <w:r>
        <w:t xml:space="preserve">, </w:t>
      </w:r>
      <w:r>
        <w:rPr>
          <w:b/>
          <w:bCs/>
          <w:color w:val="8C6D46"/>
        </w:rPr>
        <w:t xml:space="preserve">SHOULD</w:t>
      </w:r>
      <w:r>
        <w:t xml:space="preserve">, </w:t>
      </w:r>
      <w:r>
        <w:rPr>
          <w:b/>
          <w:bCs/>
          <w:color w:val="8C6D46"/>
        </w:rPr>
        <w:t xml:space="preserve">SHOULD NOT</w:t>
      </w:r>
      <w:r>
        <w:t xml:space="preserve">, </w:t>
      </w:r>
      <w:r>
        <w:rPr>
          <w:b/>
          <w:bCs/>
          <w:color w:val="8C6D46"/>
        </w:rPr>
        <w:t xml:space="preserve">RECOMMENDED</w:t>
      </w:r>
      <w:r>
        <w:t xml:space="preserve">, </w:t>
      </w:r>
      <w:r>
        <w:rPr>
          <w:b/>
          <w:bCs/>
          <w:color w:val="8C6D46"/>
        </w:rPr>
        <w:t xml:space="preserve">NOT RECOMMENDED</w:t>
      </w:r>
      <w:r>
        <w:t xml:space="preserve">, </w:t>
      </w:r>
      <w:r>
        <w:rPr>
          <w:b/>
          <w:bCs/>
          <w:color w:val="8C6D46"/>
        </w:rPr>
        <w:t xml:space="preserve">MAY</w:t>
      </w:r>
      <w:r>
        <w:t xml:space="preserve">, and </w:t>
      </w:r>
      <w:r>
        <w:rPr>
          <w:b/>
          <w:bCs/>
          <w:color w:val="8C6D46"/>
        </w:rPr>
        <w:t xml:space="preserve">OPTIONAL</w:t>
      </w:r>
      <w:r>
        <w:t xml:space="preserve"> are to be interpreted as described in BCP 14 [RFC2119] [RFC8174] when, and only when, they appear in all capitals.</w:t>
      </w:r>
    </w:p>
    <w:p>
      <w:pPr>
        <w:pStyle w:val="NoteCopy"/>
      </w:pPr>
      <w:r>
        <w:rPr>
          <w:b/>
          <w:bCs/>
          <w:color w:val="70757C"/>
          <w:sz w:val="18"/>
          <w:szCs w:val="18"/>
        </w:rPr>
        <w:t xml:space="preserve">NOTE </w:t>
      </w:r>
      <w:r>
        <w:rPr>
          <w:color w:val="70757C"/>
          <w:sz w:val="18"/>
          <w:szCs w:val="18"/>
        </w:rPr>
        <w:t xml:space="preserve">In this draft the keywords are printed in a distinguishing color as an aid to review. Color carries no meaning; capitalization does.</w:t>
      </w:r>
    </w:p>
    <w:p>
      <w:pPr>
        <w:pStyle w:val="Heading2"/>
      </w:pPr>
      <w:r>
        <w:rPr>
          <w:color w:val="8C6D46"/>
        </w:rPr>
        <w:t xml:space="preserve">2.2</w:t>
      </w:r>
      <w:r>
        <w:t xml:space="preserve">  </w:t>
      </w:r>
      <w:r>
        <w:t xml:space="preserve">Conformance targets</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1613"/>
        <w:gridCol w:w="3326"/>
        <w:gridCol w:w="4133"/>
      </w:tblGrid>
      <w:tr>
        <w:trPr>
          <w:cantSplit/>
          <w:tblHeader/>
        </w:trPr>
        <w:tc>
          <w:tcPr>
            <w:tcW w:type="dxa" w:w="1613"/>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Target</w:t>
            </w:r>
          </w:p>
        </w:tc>
        <w:tc>
          <w:tcPr>
            <w:tcW w:type="dxa" w:w="3326"/>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What it is</w:t>
            </w:r>
          </w:p>
        </w:tc>
        <w:tc>
          <w:tcPr>
            <w:tcW w:type="dxa" w:w="4133"/>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How it is tested</w:t>
            </w:r>
          </w:p>
        </w:tc>
      </w:tr>
      <w:tr>
        <w:trPr>
          <w:cantSplit/>
        </w:trPr>
        <w:tc>
          <w:tcPr>
            <w:tcW w:type="dxa" w:w="1613"/>
            <w:shd w:fill="FFFFFF" w:color="auto" w:val="clear"/>
            <w:tcMar>
              <w:top w:type="dxa" w:w="120"/>
              <w:left w:type="dxa" w:w="160"/>
              <w:bottom w:type="dxa" w:w="120"/>
              <w:right w:type="dxa" w:w="160"/>
            </w:tcMar>
            <w:vAlign w:val="top"/>
          </w:tcPr>
          <w:p>
            <w:pPr>
              <w:spacing w:after="0" w:line="260"/>
            </w:pPr>
            <w:r>
              <w:rPr>
                <w:sz w:val="18"/>
                <w:szCs w:val="18"/>
              </w:rPr>
              <w:t xml:space="preserve">Package</w:t>
            </w:r>
          </w:p>
        </w:tc>
        <w:tc>
          <w:tcPr>
            <w:tcW w:type="dxa" w:w="3326"/>
            <w:shd w:fill="FFFFFF" w:color="auto" w:val="clear"/>
            <w:tcMar>
              <w:top w:type="dxa" w:w="120"/>
              <w:left w:type="dxa" w:w="160"/>
              <w:bottom w:type="dxa" w:w="120"/>
              <w:right w:type="dxa" w:w="160"/>
            </w:tcMar>
            <w:vAlign w:val="top"/>
          </w:tcPr>
          <w:p>
            <w:pPr>
              <w:spacing w:after="0" w:line="260"/>
            </w:pPr>
            <w:r>
              <w:rPr>
                <w:sz w:val="18"/>
                <w:szCs w:val="18"/>
              </w:rPr>
              <w:t xml:space="preserve">A single artifact.</w:t>
            </w:r>
          </w:p>
        </w:tc>
        <w:tc>
          <w:tcPr>
            <w:tcW w:type="dxa" w:w="4133"/>
            <w:shd w:fill="FFFFFF" w:color="auto" w:val="clear"/>
            <w:tcMar>
              <w:top w:type="dxa" w:w="120"/>
              <w:left w:type="dxa" w:w="160"/>
              <w:bottom w:type="dxa" w:w="120"/>
              <w:right w:type="dxa" w:w="160"/>
            </w:tcMar>
            <w:vAlign w:val="top"/>
          </w:tcPr>
          <w:p>
            <w:pPr>
              <w:spacing w:after="0" w:line="260"/>
            </w:pPr>
            <w:r>
              <w:rPr>
                <w:sz w:val="18"/>
                <w:szCs w:val="18"/>
              </w:rPr>
              <w:t xml:space="preserve">Statically, with neither system present. Annex A group PK.</w:t>
            </w:r>
          </w:p>
        </w:tc>
      </w:tr>
      <w:tr>
        <w:trPr>
          <w:cantSplit/>
        </w:trPr>
        <w:tc>
          <w:tcPr>
            <w:tcW w:type="dxa" w:w="1613"/>
            <w:shd w:fill="FAF9F6" w:color="auto" w:val="clear"/>
            <w:tcMar>
              <w:top w:type="dxa" w:w="120"/>
              <w:left w:type="dxa" w:w="160"/>
              <w:bottom w:type="dxa" w:w="120"/>
              <w:right w:type="dxa" w:w="160"/>
            </w:tcMar>
            <w:vAlign w:val="top"/>
          </w:tcPr>
          <w:p>
            <w:pPr>
              <w:spacing w:after="0" w:line="260"/>
            </w:pPr>
            <w:r>
              <w:rPr>
                <w:sz w:val="18"/>
                <w:szCs w:val="18"/>
              </w:rPr>
              <w:t xml:space="preserve">Exporter</w:t>
            </w:r>
          </w:p>
        </w:tc>
        <w:tc>
          <w:tcPr>
            <w:tcW w:type="dxa" w:w="3326"/>
            <w:shd w:fill="FAF9F6" w:color="auto" w:val="clear"/>
            <w:tcMar>
              <w:top w:type="dxa" w:w="120"/>
              <w:left w:type="dxa" w:w="160"/>
              <w:bottom w:type="dxa" w:w="120"/>
              <w:right w:type="dxa" w:w="160"/>
            </w:tcMar>
            <w:vAlign w:val="top"/>
          </w:tcPr>
          <w:p>
            <w:pPr>
              <w:spacing w:after="0" w:line="260"/>
            </w:pPr>
            <w:r>
              <w:rPr>
                <w:sz w:val="18"/>
                <w:szCs w:val="18"/>
              </w:rPr>
              <w:t xml:space="preserve">A system that produces packages.</w:t>
            </w:r>
          </w:p>
        </w:tc>
        <w:tc>
          <w:tcPr>
            <w:tcW w:type="dxa" w:w="4133"/>
            <w:shd w:fill="FAF9F6" w:color="auto" w:val="clear"/>
            <w:tcMar>
              <w:top w:type="dxa" w:w="120"/>
              <w:left w:type="dxa" w:w="160"/>
              <w:bottom w:type="dxa" w:w="120"/>
              <w:right w:type="dxa" w:w="160"/>
            </w:tcMar>
            <w:vAlign w:val="top"/>
          </w:tcPr>
          <w:p>
            <w:pPr>
              <w:spacing w:after="0" w:line="260"/>
            </w:pPr>
            <w:r>
              <w:rPr>
                <w:sz w:val="18"/>
                <w:szCs w:val="18"/>
              </w:rPr>
              <w:t xml:space="preserve">By the packages it produces, and by whether the owner can produce one unaided. Group EX.</w:t>
            </w:r>
          </w:p>
        </w:tc>
      </w:tr>
      <w:tr>
        <w:trPr>
          <w:cantSplit/>
        </w:trPr>
        <w:tc>
          <w:tcPr>
            <w:tcW w:type="dxa" w:w="1613"/>
            <w:shd w:fill="FFFFFF" w:color="auto" w:val="clear"/>
            <w:tcMar>
              <w:top w:type="dxa" w:w="120"/>
              <w:left w:type="dxa" w:w="160"/>
              <w:bottom w:type="dxa" w:w="120"/>
              <w:right w:type="dxa" w:w="160"/>
            </w:tcMar>
            <w:vAlign w:val="top"/>
          </w:tcPr>
          <w:p>
            <w:pPr>
              <w:spacing w:after="0" w:line="260"/>
            </w:pPr>
            <w:r>
              <w:rPr>
                <w:sz w:val="18"/>
                <w:szCs w:val="18"/>
              </w:rPr>
              <w:t xml:space="preserve">Importer</w:t>
            </w:r>
          </w:p>
        </w:tc>
        <w:tc>
          <w:tcPr>
            <w:tcW w:type="dxa" w:w="3326"/>
            <w:shd w:fill="FFFFFF" w:color="auto" w:val="clear"/>
            <w:tcMar>
              <w:top w:type="dxa" w:w="120"/>
              <w:left w:type="dxa" w:w="160"/>
              <w:bottom w:type="dxa" w:w="120"/>
              <w:right w:type="dxa" w:w="160"/>
            </w:tcMar>
            <w:vAlign w:val="top"/>
          </w:tcPr>
          <w:p>
            <w:pPr>
              <w:spacing w:after="0" w:line="260"/>
            </w:pPr>
            <w:r>
              <w:rPr>
                <w:sz w:val="18"/>
                <w:szCs w:val="18"/>
              </w:rPr>
              <w:t xml:space="preserve">A system that consumes packages.</w:t>
            </w:r>
          </w:p>
        </w:tc>
        <w:tc>
          <w:tcPr>
            <w:tcW w:type="dxa" w:w="4133"/>
            <w:shd w:fill="FFFFFF" w:color="auto" w:val="clear"/>
            <w:tcMar>
              <w:top w:type="dxa" w:w="120"/>
              <w:left w:type="dxa" w:w="160"/>
              <w:bottom w:type="dxa" w:w="120"/>
              <w:right w:type="dxa" w:w="160"/>
            </w:tcMar>
            <w:vAlign w:val="top"/>
          </w:tcPr>
          <w:p>
            <w:pPr>
              <w:spacing w:after="0" w:line="260"/>
            </w:pPr>
            <w:r>
              <w:rPr>
                <w:sz w:val="18"/>
                <w:szCs w:val="18"/>
              </w:rPr>
              <w:t xml:space="preserve">By what it retains, what it refuses, and what it reports. Group IM.</w:t>
            </w:r>
          </w:p>
        </w:tc>
      </w:tr>
      <w:tr>
        <w:trPr>
          <w:cantSplit/>
        </w:trPr>
        <w:tc>
          <w:tcPr>
            <w:tcW w:type="dxa" w:w="1613"/>
            <w:shd w:fill="FAF9F6" w:color="auto" w:val="clear"/>
            <w:tcMar>
              <w:top w:type="dxa" w:w="120"/>
              <w:left w:type="dxa" w:w="160"/>
              <w:bottom w:type="dxa" w:w="120"/>
              <w:right w:type="dxa" w:w="160"/>
            </w:tcMar>
            <w:vAlign w:val="top"/>
          </w:tcPr>
          <w:p>
            <w:pPr>
              <w:spacing w:after="0" w:line="260"/>
            </w:pPr>
            <w:r>
              <w:rPr>
                <w:sz w:val="18"/>
                <w:szCs w:val="18"/>
              </w:rPr>
              <w:t xml:space="preserve">Round-trip</w:t>
            </w:r>
          </w:p>
        </w:tc>
        <w:tc>
          <w:tcPr>
            <w:tcW w:type="dxa" w:w="3326"/>
            <w:shd w:fill="FAF9F6" w:color="auto" w:val="clear"/>
            <w:tcMar>
              <w:top w:type="dxa" w:w="120"/>
              <w:left w:type="dxa" w:w="160"/>
              <w:bottom w:type="dxa" w:w="120"/>
              <w:right w:type="dxa" w:w="160"/>
            </w:tcMar>
            <w:vAlign w:val="top"/>
          </w:tcPr>
          <w:p>
            <w:pPr>
              <w:spacing w:after="0" w:line="260"/>
            </w:pPr>
            <w:r>
              <w:rPr>
                <w:sz w:val="18"/>
                <w:szCs w:val="18"/>
              </w:rPr>
              <w:t xml:space="preserve">An exporter and importer as a pair.</w:t>
            </w:r>
          </w:p>
        </w:tc>
        <w:tc>
          <w:tcPr>
            <w:tcW w:type="dxa" w:w="4133"/>
            <w:shd w:fill="FAF9F6" w:color="auto" w:val="clear"/>
            <w:tcMar>
              <w:top w:type="dxa" w:w="120"/>
              <w:left w:type="dxa" w:w="160"/>
              <w:bottom w:type="dxa" w:w="120"/>
              <w:right w:type="dxa" w:w="160"/>
            </w:tcMar>
            <w:vAlign w:val="top"/>
          </w:tcPr>
          <w:p>
            <w:pPr>
              <w:spacing w:after="0" w:line="260"/>
            </w:pPr>
            <w:r>
              <w:rPr>
                <w:sz w:val="18"/>
                <w:szCs w:val="18"/>
              </w:rPr>
              <w:t xml:space="preserve">Export, import, re-export, compare in canonical form. Group RT.</w:t>
            </w:r>
          </w:p>
        </w:tc>
      </w:tr>
    </w:tbl>
    <w:p>
      <w:pPr>
        <w:pStyle w:val="BodyCopy"/>
      </w:pPr>
      <w:r>
        <w:t xml:space="preserve">A system that both imports and exports </w:t>
      </w:r>
      <w:r>
        <w:rPr>
          <w:b/>
          <w:bCs/>
          <w:color w:val="8C6D46"/>
        </w:rPr>
        <w:t xml:space="preserve">MUST</w:t>
      </w:r>
      <w:r>
        <w:t xml:space="preserve"> be evaluated as all three, and in round-trip against itself. Round-trip against itself is the weakest of the four and </w:t>
      </w:r>
      <w:r>
        <w:rPr>
          <w:b/>
          <w:bCs/>
          <w:color w:val="8C6D46"/>
        </w:rPr>
        <w:t xml:space="preserve">MUST NOT</w:t>
      </w:r>
      <w:r>
        <w:t xml:space="preserve"> be reported alone.</w:t>
      </w:r>
    </w:p>
    <w:p>
      <w:pPr>
        <w:pStyle w:val="Heading2"/>
      </w:pPr>
      <w:r>
        <w:rPr>
          <w:color w:val="8C6D46"/>
        </w:rPr>
        <w:t xml:space="preserve">2.3</w:t>
      </w:r>
      <w:r>
        <w:t xml:space="preserve">  </w:t>
      </w:r>
      <w:r>
        <w:t xml:space="preserve">Conformance profiles</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2621"/>
        <w:gridCol w:w="1714"/>
        <w:gridCol w:w="4737"/>
      </w:tblGrid>
      <w:tr>
        <w:trPr>
          <w:cantSplit/>
          <w:tblHeader/>
        </w:trPr>
        <w:tc>
          <w:tcPr>
            <w:tcW w:type="dxa" w:w="2621"/>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Profile</w:t>
            </w:r>
          </w:p>
        </w:tc>
        <w:tc>
          <w:tcPr>
            <w:tcW w:type="dxa" w:w="1714"/>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Token</w:t>
            </w:r>
          </w:p>
        </w:tc>
        <w:tc>
          <w:tcPr>
            <w:tcW w:type="dxa" w:w="4737"/>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Domains</w:t>
            </w:r>
          </w:p>
        </w:tc>
      </w:tr>
      <w:tr>
        <w:trPr>
          <w:cantSplit/>
        </w:trPr>
        <w:tc>
          <w:tcPr>
            <w:tcW w:type="dxa" w:w="2621"/>
            <w:shd w:fill="FFFFFF" w:color="auto" w:val="clear"/>
            <w:tcMar>
              <w:top w:type="dxa" w:w="120"/>
              <w:left w:type="dxa" w:w="160"/>
              <w:bottom w:type="dxa" w:w="120"/>
              <w:right w:type="dxa" w:w="160"/>
            </w:tcMar>
            <w:vAlign w:val="top"/>
          </w:tcPr>
          <w:p>
            <w:pPr>
              <w:spacing w:after="0" w:line="260"/>
            </w:pPr>
            <w:r>
              <w:rPr>
                <w:sz w:val="18"/>
                <w:szCs w:val="18"/>
              </w:rPr>
              <w:t xml:space="preserve">Core</w:t>
            </w:r>
          </w:p>
        </w:tc>
        <w:tc>
          <w:tcPr>
            <w:tcW w:type="dxa" w:w="1714"/>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core</w:t>
            </w:r>
          </w:p>
        </w:tc>
        <w:tc>
          <w:tcPr>
            <w:tcW w:type="dxa" w:w="4737"/>
            <w:shd w:fill="FFFFFF" w:color="auto" w:val="clear"/>
            <w:tcMar>
              <w:top w:type="dxa" w:w="120"/>
              <w:left w:type="dxa" w:w="160"/>
              <w:bottom w:type="dxa" w:w="120"/>
              <w:right w:type="dxa" w:w="160"/>
            </w:tcMar>
            <w:vAlign w:val="top"/>
          </w:tcPr>
          <w:p>
            <w:pPr>
              <w:spacing w:after="0" w:line="260"/>
            </w:pPr>
            <w:r>
              <w:rPr>
                <w:sz w:val="18"/>
                <w:szCs w:val="18"/>
              </w:rPr>
              <w:t xml:space="preserve">identity, spaces, assets, points, relationships, resources, provenance</w:t>
            </w:r>
          </w:p>
        </w:tc>
      </w:tr>
      <w:tr>
        <w:trPr>
          <w:cantSplit/>
        </w:trPr>
        <w:tc>
          <w:tcPr>
            <w:tcW w:type="dxa" w:w="2621"/>
            <w:shd w:fill="FAF9F6" w:color="auto" w:val="clear"/>
            <w:tcMar>
              <w:top w:type="dxa" w:w="120"/>
              <w:left w:type="dxa" w:w="160"/>
              <w:bottom w:type="dxa" w:w="120"/>
              <w:right w:type="dxa" w:w="160"/>
            </w:tcMar>
            <w:vAlign w:val="top"/>
          </w:tcPr>
          <w:p>
            <w:pPr>
              <w:spacing w:after="0" w:line="260"/>
            </w:pPr>
            <w:r>
              <w:rPr>
                <w:sz w:val="18"/>
                <w:szCs w:val="18"/>
              </w:rPr>
              <w:t xml:space="preserve">Core with intent</w:t>
            </w:r>
          </w:p>
        </w:tc>
        <w:tc>
          <w:tcPr>
            <w:tcW w:type="dxa" w:w="1714"/>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core-intent</w:t>
            </w:r>
          </w:p>
        </w:tc>
        <w:tc>
          <w:tcPr>
            <w:tcW w:type="dxa" w:w="4737"/>
            <w:shd w:fill="FAF9F6" w:color="auto" w:val="clear"/>
            <w:tcMar>
              <w:top w:type="dxa" w:w="120"/>
              <w:left w:type="dxa" w:w="160"/>
              <w:bottom w:type="dxa" w:w="120"/>
              <w:right w:type="dxa" w:w="160"/>
            </w:tcMar>
            <w:vAlign w:val="top"/>
          </w:tcPr>
          <w:p>
            <w:pPr>
              <w:spacing w:after="0" w:line="260"/>
            </w:pPr>
            <w:r>
              <w:rPr>
                <w:sz w:val="18"/>
                <w:szCs w:val="18"/>
              </w:rPr>
              <w:t xml:space="preserve">core plus operational intent, alarms, and events</w:t>
            </w:r>
          </w:p>
        </w:tc>
      </w:tr>
      <w:tr>
        <w:trPr>
          <w:cantSplit/>
        </w:trPr>
        <w:tc>
          <w:tcPr>
            <w:tcW w:type="dxa" w:w="2621"/>
            <w:shd w:fill="FFFFFF" w:color="auto" w:val="clear"/>
            <w:tcMar>
              <w:top w:type="dxa" w:w="120"/>
              <w:left w:type="dxa" w:w="160"/>
              <w:bottom w:type="dxa" w:w="120"/>
              <w:right w:type="dxa" w:w="160"/>
            </w:tcMar>
            <w:vAlign w:val="top"/>
          </w:tcPr>
          <w:p>
            <w:pPr>
              <w:spacing w:after="0" w:line="260"/>
            </w:pPr>
            <w:r>
              <w:rPr>
                <w:sz w:val="18"/>
                <w:szCs w:val="18"/>
              </w:rPr>
              <w:t xml:space="preserve">Core with intent and knowledge</w:t>
            </w:r>
          </w:p>
        </w:tc>
        <w:tc>
          <w:tcPr>
            <w:tcW w:type="dxa" w:w="1714"/>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core-intent-knowledge</w:t>
            </w:r>
          </w:p>
        </w:tc>
        <w:tc>
          <w:tcPr>
            <w:tcW w:type="dxa" w:w="4737"/>
            <w:shd w:fill="FFFFFF" w:color="auto" w:val="clear"/>
            <w:tcMar>
              <w:top w:type="dxa" w:w="120"/>
              <w:left w:type="dxa" w:w="160"/>
              <w:bottom w:type="dxa" w:w="120"/>
              <w:right w:type="dxa" w:w="160"/>
            </w:tcMar>
            <w:vAlign w:val="top"/>
          </w:tcPr>
          <w:p>
            <w:pPr>
              <w:spacing w:after="0" w:line="260"/>
            </w:pPr>
            <w:r>
              <w:rPr>
                <w:sz w:val="18"/>
                <w:szCs w:val="18"/>
              </w:rPr>
              <w:t xml:space="preserve">the above plus human knowledge</w:t>
            </w:r>
          </w:p>
        </w:tc>
      </w:tr>
      <w:tr>
        <w:trPr>
          <w:cantSplit/>
        </w:trPr>
        <w:tc>
          <w:tcPr>
            <w:tcW w:type="dxa" w:w="2621"/>
            <w:shd w:fill="FAF9F6" w:color="auto" w:val="clear"/>
            <w:tcMar>
              <w:top w:type="dxa" w:w="120"/>
              <w:left w:type="dxa" w:w="160"/>
              <w:bottom w:type="dxa" w:w="120"/>
              <w:right w:type="dxa" w:w="160"/>
            </w:tcMar>
            <w:vAlign w:val="top"/>
          </w:tcPr>
          <w:p>
            <w:pPr>
              <w:spacing w:after="0" w:line="260"/>
            </w:pPr>
            <w:r>
              <w:rPr>
                <w:sz w:val="18"/>
                <w:szCs w:val="18"/>
              </w:rPr>
              <w:t xml:space="preserve">Full</w:t>
            </w:r>
          </w:p>
        </w:tc>
        <w:tc>
          <w:tcPr>
            <w:tcW w:type="dxa" w:w="1714"/>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full</w:t>
            </w:r>
          </w:p>
        </w:tc>
        <w:tc>
          <w:tcPr>
            <w:tcW w:type="dxa" w:w="4737"/>
            <w:shd w:fill="FAF9F6" w:color="auto" w:val="clear"/>
            <w:tcMar>
              <w:top w:type="dxa" w:w="120"/>
              <w:left w:type="dxa" w:w="160"/>
              <w:bottom w:type="dxa" w:w="120"/>
              <w:right w:type="dxa" w:w="160"/>
            </w:tcMar>
            <w:vAlign w:val="top"/>
          </w:tcPr>
          <w:p>
            <w:pPr>
              <w:spacing w:after="0" w:line="260"/>
            </w:pPr>
            <w:r>
              <w:rPr>
                <w:sz w:val="18"/>
                <w:szCs w:val="18"/>
              </w:rPr>
              <w:t xml:space="preserve">the above plus portable presentation and time-series history</w:t>
            </w:r>
          </w:p>
        </w:tc>
      </w:tr>
    </w:tbl>
    <w:p>
      <w:pPr>
        <w:pStyle w:val="BodyCopy"/>
      </w:pPr>
      <w:r>
        <w:t xml:space="preserve">v0.2 normatively defines </w:t>
      </w:r>
      <w:r>
        <w:rPr>
          <w:rFonts w:ascii="Consolas" w:cs="Consolas" w:eastAsia="Consolas" w:hAnsi="Consolas"/>
          <w:color w:val="1A1D21"/>
          <w:sz w:val="18"/>
          <w:szCs w:val="18"/>
          <w:shd w:fill="F2F1ED" w:color="auto" w:val="clear"/>
        </w:rPr>
        <w:t xml:space="preserve">core</w:t>
      </w:r>
      <w:r>
        <w:t xml:space="preserve">, </w:t>
      </w:r>
      <w:r>
        <w:rPr>
          <w:rFonts w:ascii="Consolas" w:cs="Consolas" w:eastAsia="Consolas" w:hAnsi="Consolas"/>
          <w:color w:val="1A1D21"/>
          <w:sz w:val="18"/>
          <w:szCs w:val="18"/>
          <w:shd w:fill="F2F1ED" w:color="auto" w:val="clear"/>
        </w:rPr>
        <w:t xml:space="preserve">core-intent</w:t>
      </w:r>
      <w:r>
        <w:t xml:space="preserve">, and </w:t>
      </w:r>
      <w:r>
        <w:rPr>
          <w:rFonts w:ascii="Consolas" w:cs="Consolas" w:eastAsia="Consolas" w:hAnsi="Consolas"/>
          <w:color w:val="1A1D21"/>
          <w:sz w:val="18"/>
          <w:szCs w:val="18"/>
          <w:shd w:fill="F2F1ED" w:color="auto" w:val="clear"/>
        </w:rPr>
        <w:t xml:space="preserve">core-intent-knowledge</w:t>
      </w:r>
      <w:r>
        <w:t xml:space="preserve">. An implementation </w:t>
      </w:r>
      <w:r>
        <w:rPr>
          <w:b/>
          <w:bCs/>
          <w:color w:val="8C6D46"/>
        </w:rPr>
        <w:t xml:space="preserve">MAY</w:t>
      </w:r>
      <w:r>
        <w:t xml:space="preserve"> claim </w:t>
      </w:r>
      <w:r>
        <w:rPr>
          <w:rFonts w:ascii="Consolas" w:cs="Consolas" w:eastAsia="Consolas" w:hAnsi="Consolas"/>
          <w:color w:val="1A1D21"/>
          <w:sz w:val="18"/>
          <w:szCs w:val="18"/>
          <w:shd w:fill="F2F1ED" w:color="auto" w:val="clear"/>
        </w:rPr>
        <w:t xml:space="preserve">full</w:t>
      </w:r>
      <w:r>
        <w:t xml:space="preserve"> for presentation only if it also declares </w:t>
      </w:r>
      <w:r>
        <w:rPr>
          <w:rFonts w:ascii="Consolas" w:cs="Consolas" w:eastAsia="Consolas" w:hAnsi="Consolas"/>
          <w:color w:val="1A1D21"/>
          <w:sz w:val="18"/>
          <w:szCs w:val="18"/>
          <w:shd w:fill="F2F1ED" w:color="auto" w:val="clear"/>
        </w:rPr>
        <w:t xml:space="preserve">timeSeries</w:t>
      </w:r>
      <w:r>
        <w:t xml:space="preserve"> as absent with a reason of </w:t>
      </w:r>
      <w:r>
        <w:rPr>
          <w:rFonts w:ascii="Consolas" w:cs="Consolas" w:eastAsia="Consolas" w:hAnsi="Consolas"/>
          <w:color w:val="1A1D21"/>
          <w:sz w:val="18"/>
          <w:szCs w:val="18"/>
          <w:shd w:fill="F2F1ED" w:color="auto" w:val="clear"/>
        </w:rPr>
        <w:t xml:space="preserve">deferredToLaterVersion</w:t>
      </w:r>
      <w:r>
        <w:t xml:space="preserve">; the time-series domain is not specified in this version and cannot be tested.</w:t>
      </w:r>
    </w:p>
    <w:p>
      <w:pPr>
        <w:pStyle w:val="BodyCopy"/>
      </w:pPr>
      <w:r>
        <w:t xml:space="preserve">Property definitions are not a domain. They are infrastructure required of every profile by 7.8, and a package at any profile that emits a property without its definition is invalid.</w:t>
      </w:r>
    </w:p>
    <w:p>
      <w:pPr>
        <w:pStyle w:val="BodyCopy"/>
      </w:pPr>
      <w:r>
        <w:t xml:space="preserve">Profiles are floors, not ceilings. An implementation claiming </w:t>
      </w:r>
      <w:r>
        <w:rPr>
          <w:rFonts w:ascii="Consolas" w:cs="Consolas" w:eastAsia="Consolas" w:hAnsi="Consolas"/>
          <w:color w:val="1A1D21"/>
          <w:sz w:val="18"/>
          <w:szCs w:val="18"/>
          <w:shd w:fill="F2F1ED" w:color="auto" w:val="clear"/>
        </w:rPr>
        <w:t xml:space="preserve">core</w:t>
      </w:r>
      <w:r>
        <w:t xml:space="preserve"> </w:t>
      </w:r>
      <w:r>
        <w:rPr>
          <w:b/>
          <w:bCs/>
          <w:color w:val="8C6D46"/>
        </w:rPr>
        <w:t xml:space="preserve">MAY</w:t>
      </w:r>
      <w:r>
        <w:t xml:space="preserve"> carry presentation, and </w:t>
      </w:r>
      <w:r>
        <w:rPr>
          <w:b/>
          <w:bCs/>
          <w:color w:val="8C6D46"/>
        </w:rPr>
        <w:t xml:space="preserve">SHOULD</w:t>
      </w:r>
      <w:r>
        <w:t xml:space="preserve"> do so; it simply does not have its presentation handling tested.</w:t>
      </w:r>
    </w:p>
    <w:p>
      <w:pPr>
        <w:pStyle w:val="Heading2"/>
      </w:pPr>
      <w:r>
        <w:rPr>
          <w:color w:val="8C6D46"/>
        </w:rPr>
        <w:t xml:space="preserve">2.4</w:t>
      </w:r>
      <w:r>
        <w:t xml:space="preserve">  </w:t>
      </w:r>
      <w:r>
        <w:t xml:space="preserve">The reconstruction requirement</w:t>
      </w:r>
    </w:p>
    <w:tbl>
      <w:tblPr>
        <w:tblW w:type="dxa" w:w="9072"/>
        <w:tblBorders>
          <w:top w:val="none" w:color="FFFFFF" w:sz="0"/>
          <w:left w:val="single" w:color="8C6D46" w:sz="24"/>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F5F3EE" w:color="auto" w:val="clear"/>
            <w:tcMar>
              <w:top w:type="dxa" w:w="200"/>
              <w:left w:type="dxa" w:w="260"/>
              <w:bottom w:type="dxa" w:w="200"/>
              <w:right w:type="dxa" w:w="260"/>
            </w:tcMar>
          </w:tcPr>
          <w:p>
            <w:pPr>
              <w:spacing w:after="80"/>
            </w:pPr>
            <w:r>
              <w:rPr>
                <w:rFonts w:ascii="Georgia" w:cs="Georgia" w:eastAsia="Georgia" w:hAnsi="Georgia"/>
                <w:b/>
                <w:bCs/>
                <w:color w:val="1A1D21"/>
                <w:sz w:val="22"/>
                <w:szCs w:val="22"/>
              </w:rPr>
              <w:t xml:space="preserve">Requirement 2.4-1</w:t>
            </w:r>
          </w:p>
          <w:p>
            <w:pPr>
              <w:spacing w:after="0" w:line="280"/>
            </w:pPr>
            <w:r>
              <w:rPr>
                <w:sz w:val="20"/>
                <w:szCs w:val="20"/>
              </w:rPr>
              <w:t xml:space="preserve">A conforming exchange package </w:t>
            </w:r>
            <w:r>
              <w:rPr>
                <w:b/>
                <w:bCs/>
                <w:color w:val="8C6D46"/>
                <w:sz w:val="20"/>
                <w:szCs w:val="20"/>
              </w:rPr>
              <w:t xml:space="preserve">MUST</w:t>
            </w:r>
            <w:r>
              <w:rPr>
                <w:sz w:val="20"/>
                <w:szCs w:val="20"/>
              </w:rPr>
              <w:t xml:space="preserve"> be sufficient, on its own, for a conforming importer to reconstruct the portable understanding of the building it describes, without recourse to the exporting vendor, to undocumented behavior, or to any service that the exporting vendor controls.</w:t>
            </w:r>
          </w:p>
        </w:tc>
      </w:tr>
    </w:tbl>
    <w:p>
      <w:pPr>
        <w:spacing w:after="120"/>
      </w:pPr>
      <w:r>
        <w:rPr>
          <w:sz w:val="2"/>
          <w:szCs w:val="2"/>
        </w:rPr>
        <w:t xml:space="preserve"/>
      </w:r>
    </w:p>
    <w:p>
      <w:pPr>
        <w:pStyle w:val="BulletCopy"/>
        <w:numPr>
          <w:ilvl w:val="0"/>
          <w:numId w:val="3"/>
        </w:numPr>
      </w:pPr>
      <w:r>
        <w:rPr>
          <w:b/>
          <w:bCs/>
          <w:color w:val="1A1D21"/>
        </w:rPr>
        <w:t xml:space="preserve">Self-sufficiency.</w:t>
      </w:r>
      <w:r>
        <w:t xml:space="preserve"> Every reference </w:t>
      </w:r>
      <w:r>
        <w:rPr>
          <w:b/>
          <w:bCs/>
          <w:color w:val="8C6D46"/>
        </w:rPr>
        <w:t xml:space="preserve">MUST</w:t>
      </w:r>
      <w:r>
        <w:t xml:space="preserve"> resolve within the package, or </w:t>
      </w:r>
      <w:r>
        <w:rPr>
          <w:b/>
          <w:bCs/>
          <w:color w:val="8C6D46"/>
        </w:rPr>
        <w:t xml:space="preserve">MUST</w:t>
      </w:r>
      <w:r>
        <w:t xml:space="preserve"> be a durable external locator with a digest (16.5). A reference only the exporting system can dereference does not satisfy this requirement, whatever its syntax. Test EX-1.</w:t>
      </w:r>
    </w:p>
    <w:p>
      <w:pPr>
        <w:pStyle w:val="BulletCopy"/>
        <w:numPr>
          <w:ilvl w:val="0"/>
          <w:numId w:val="3"/>
        </w:numPr>
      </w:pPr>
      <w:r>
        <w:rPr>
          <w:b/>
          <w:bCs/>
          <w:color w:val="1A1D21"/>
        </w:rPr>
        <w:t xml:space="preserve">Symmetry.</w:t>
      </w:r>
      <w:r>
        <w:t xml:space="preserve"> An exporter </w:t>
      </w:r>
      <w:r>
        <w:rPr>
          <w:b/>
          <w:bCs/>
          <w:color w:val="8C6D46"/>
        </w:rPr>
        <w:t xml:space="preserve">MUST NOT</w:t>
      </w:r>
      <w:r>
        <w:t xml:space="preserve"> omit any construct that the exporting system itself relies upon to operate the building, unless the omission is declared under 16.6. Test EX-4.</w:t>
      </w:r>
    </w:p>
    <w:p>
      <w:pPr>
        <w:pStyle w:val="BulletCopy"/>
        <w:numPr>
          <w:ilvl w:val="0"/>
          <w:numId w:val="3"/>
        </w:numPr>
      </w:pPr>
      <w:r>
        <w:rPr>
          <w:b/>
          <w:bCs/>
          <w:color w:val="1A1D21"/>
        </w:rPr>
        <w:t xml:space="preserve">Preservation over comprehension.</w:t>
      </w:r>
      <w:r>
        <w:t xml:space="preserve"> An importer </w:t>
      </w:r>
      <w:r>
        <w:rPr>
          <w:b/>
          <w:bCs/>
          <w:color w:val="8C6D46"/>
        </w:rPr>
        <w:t xml:space="preserve">MUST</w:t>
      </w:r>
      <w:r>
        <w:t xml:space="preserve"> preserve what it does not understand. Understanding is optional; retention is not. Tests RT-6, RT-7, RT-12.</w:t>
      </w:r>
    </w:p>
    <w:p>
      <w:pPr>
        <w:spacing w:after="80"/>
      </w:pPr>
      <w:r>
        <w:rPr>
          <w:sz w:val="2"/>
          <w:szCs w:val="2"/>
        </w:rPr>
        <w:t xml:space="preserve"/>
      </w:r>
    </w:p>
    <w:p>
      <w:pPr>
        <w:pStyle w:val="BodyCopy"/>
      </w:pPr>
      <w:r>
        <w:t xml:space="preserve">For presentation specifically, reconstruction has a stronger practical test: an owner-role user </w:t>
      </w:r>
      <w:r>
        <w:rPr>
          <w:b/>
          <w:bCs/>
          <w:color w:val="8C6D46"/>
        </w:rPr>
        <w:t xml:space="preserve">MUST</w:t>
      </w:r>
      <w:r>
        <w:t xml:space="preserve"> be able to export a floor plan and an equipment graphic, with geometry, element identity, and bindings intact, without vendor assistance (test EX-6). That test exists because the rebuild cost of graphics is the largest single line item in a real migration.</w:t>
      </w:r>
    </w:p>
    <w:p>
      <w:pPr>
        <w:pStyle w:val="Heading2"/>
      </w:pPr>
      <w:r>
        <w:rPr>
          <w:color w:val="8C6D46"/>
        </w:rPr>
        <w:t xml:space="preserve">2.5</w:t>
      </w:r>
      <w:r>
        <w:t xml:space="preserve">  </w:t>
      </w:r>
      <w:r>
        <w:t xml:space="preserve">Claiming conformance</w:t>
      </w:r>
    </w:p>
    <w:p>
      <w:pPr>
        <w:pStyle w:val="BodyCopy"/>
      </w:pPr>
      <w:r>
        <w:t xml:space="preserve">An implementation claiming conformance </w:t>
      </w:r>
      <w:r>
        <w:rPr>
          <w:b/>
          <w:bCs/>
          <w:color w:val="8C6D46"/>
        </w:rPr>
        <w:t xml:space="preserve">MUST</w:t>
      </w:r>
      <w:r>
        <w:t xml:space="preserve"> publish a conformance statement giving the targets and profiles claimed, the document and schema versions, the result of every applicable test in Annex A including tests not passed, every extension namespace it emits with its must-understand flag, and the substrate domains it cannot carry with the reason codes it will emit.</w:t>
      </w:r>
    </w:p>
    <w:p>
      <w:pPr>
        <w:pStyle w:val="BodyCopy"/>
      </w:pPr>
      <w:r>
        <w:t xml:space="preserve">A conformance statement that reports only passes is not a conformance statement. An owner reading it </w:t>
      </w:r>
      <w:r>
        <w:rPr>
          <w:b/>
          <w:bCs/>
          <w:color w:val="8C6D46"/>
        </w:rPr>
        <w:t xml:space="preserve">MUST</w:t>
      </w:r>
      <w:r>
        <w:t xml:space="preserve"> be able to determine, before purchase, what the product can and cannot preserve.</w:t>
      </w:r>
    </w:p>
    <w:p>
      <w:pPr>
        <w:pStyle w:val="Heading1"/>
      </w:pPr>
      <w:r>
        <w:rPr>
          <w:rFonts w:ascii="Georgia" w:cs="Georgia" w:eastAsia="Georgia" w:hAnsi="Georgia"/>
          <w:color w:val="8C6D46"/>
        </w:rPr>
        <w:t xml:space="preserve">3</w:t>
      </w:r>
      <w:r>
        <w:t xml:space="preserve">  </w:t>
      </w:r>
      <w:r>
        <w:t xml:space="preserve">Normative references</w:t>
      </w:r>
    </w:p>
    <w:p>
      <w:pPr>
        <w:spacing w:after="160" w:before="0"/>
      </w:pPr>
      <w:r>
        <w:rPr>
          <w:rFonts w:ascii="Calibri" w:cs="Calibri" w:eastAsia="Calibri" w:hAnsi="Calibri"/>
          <w:b/>
          <w:bCs/>
          <w:color w:val="8C6D46"/>
          <w:spacing w:val="40"/>
          <w:sz w:val="14"/>
          <w:szCs w:val="14"/>
        </w:rPr>
        <w:t xml:space="preserve">AGREED</w:t>
      </w:r>
    </w:p>
    <w:p>
      <w:pPr>
        <w:pStyle w:val="BodyCopy"/>
      </w:pPr>
      <w:r>
        <w:t xml:space="preserve">The following documents are referred to in such a way that some or all of their content constitutes requirements of this document. For dated references, only the cited edition applies.</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1500"/>
        <w:gridCol w:w="7572"/>
      </w:tblGrid>
      <w:tr>
        <w:trPr>
          <w:cantSplit/>
          <w:tblHeader/>
        </w:trPr>
        <w:tc>
          <w:tcPr>
            <w:tcW w:type="dxa" w:w="15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Reference</w:t>
            </w:r>
          </w:p>
        </w:tc>
        <w:tc>
          <w:tcPr>
            <w:tcW w:type="dxa" w:w="75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Title and note</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sz w:val="18"/>
                <w:szCs w:val="18"/>
              </w:rPr>
              <w:t xml:space="preserve">[RFC2119]</w:t>
            </w:r>
          </w:p>
        </w:tc>
        <w:tc>
          <w:tcPr>
            <w:tcW w:type="dxa" w:w="7572"/>
            <w:shd w:fill="FFFFFF" w:color="auto" w:val="clear"/>
            <w:tcMar>
              <w:top w:type="dxa" w:w="120"/>
              <w:left w:type="dxa" w:w="160"/>
              <w:bottom w:type="dxa" w:w="120"/>
              <w:right w:type="dxa" w:w="160"/>
            </w:tcMar>
            <w:vAlign w:val="top"/>
          </w:tcPr>
          <w:p>
            <w:pPr>
              <w:spacing w:after="0" w:line="260"/>
            </w:pPr>
            <w:r>
              <w:rPr>
                <w:sz w:val="18"/>
                <w:szCs w:val="18"/>
              </w:rPr>
              <w:t xml:space="preserve">Bradner, S., </w:t>
            </w:r>
            <w:r>
              <w:rPr>
                <w:i/>
                <w:iCs/>
                <w:sz w:val="18"/>
                <w:szCs w:val="18"/>
              </w:rPr>
              <w:t xml:space="preserve">Key words for use in RFCs to Indicate Requirement Levels</w:t>
            </w:r>
            <w:r>
              <w:rPr>
                <w:sz w:val="18"/>
                <w:szCs w:val="18"/>
              </w:rPr>
              <w:t xml:space="preserve">, BCP 14, RFC 2119, March 1997.</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sz w:val="18"/>
                <w:szCs w:val="18"/>
              </w:rPr>
              <w:t xml:space="preserve">[RFC8174]</w:t>
            </w:r>
          </w:p>
        </w:tc>
        <w:tc>
          <w:tcPr>
            <w:tcW w:type="dxa" w:w="7572"/>
            <w:shd w:fill="FAF9F6" w:color="auto" w:val="clear"/>
            <w:tcMar>
              <w:top w:type="dxa" w:w="120"/>
              <w:left w:type="dxa" w:w="160"/>
              <w:bottom w:type="dxa" w:w="120"/>
              <w:right w:type="dxa" w:w="160"/>
            </w:tcMar>
            <w:vAlign w:val="top"/>
          </w:tcPr>
          <w:p>
            <w:pPr>
              <w:spacing w:after="0" w:line="260"/>
            </w:pPr>
            <w:r>
              <w:rPr>
                <w:sz w:val="18"/>
                <w:szCs w:val="18"/>
              </w:rPr>
              <w:t xml:space="preserve">Leiba, B., </w:t>
            </w:r>
            <w:r>
              <w:rPr>
                <w:i/>
                <w:iCs/>
                <w:sz w:val="18"/>
                <w:szCs w:val="18"/>
              </w:rPr>
              <w:t xml:space="preserve">Ambiguity of Uppercase vs Lowercase in RFC 2119 Key Words</w:t>
            </w:r>
            <w:r>
              <w:rPr>
                <w:sz w:val="18"/>
                <w:szCs w:val="18"/>
              </w:rPr>
              <w:t xml:space="preserve">, BCP 14, RFC 8174, May 2017.</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sz w:val="18"/>
                <w:szCs w:val="18"/>
              </w:rPr>
              <w:t xml:space="preserve">[RFC3986]</w:t>
            </w:r>
          </w:p>
        </w:tc>
        <w:tc>
          <w:tcPr>
            <w:tcW w:type="dxa" w:w="7572"/>
            <w:shd w:fill="FFFFFF" w:color="auto" w:val="clear"/>
            <w:tcMar>
              <w:top w:type="dxa" w:w="120"/>
              <w:left w:type="dxa" w:w="160"/>
              <w:bottom w:type="dxa" w:w="120"/>
              <w:right w:type="dxa" w:w="160"/>
            </w:tcMar>
            <w:vAlign w:val="top"/>
          </w:tcPr>
          <w:p>
            <w:pPr>
              <w:spacing w:after="0" w:line="260"/>
            </w:pPr>
            <w:r>
              <w:rPr>
                <w:sz w:val="18"/>
                <w:szCs w:val="18"/>
              </w:rPr>
              <w:t xml:space="preserve">Berners-Lee, T., et al., </w:t>
            </w:r>
            <w:r>
              <w:rPr>
                <w:i/>
                <w:iCs/>
                <w:sz w:val="18"/>
                <w:szCs w:val="18"/>
              </w:rPr>
              <w:t xml:space="preserve">Uniform Resource Identifier (URI): Generic Syntax</w:t>
            </w:r>
            <w:r>
              <w:rPr>
                <w:sz w:val="18"/>
                <w:szCs w:val="18"/>
              </w:rPr>
              <w:t xml:space="preserve">, STD 66, RFC 3986, January 2005.</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sz w:val="18"/>
                <w:szCs w:val="18"/>
              </w:rPr>
              <w:t xml:space="preserve">[RFC8141]</w:t>
            </w:r>
          </w:p>
        </w:tc>
        <w:tc>
          <w:tcPr>
            <w:tcW w:type="dxa" w:w="7572"/>
            <w:shd w:fill="FAF9F6" w:color="auto" w:val="clear"/>
            <w:tcMar>
              <w:top w:type="dxa" w:w="120"/>
              <w:left w:type="dxa" w:w="160"/>
              <w:bottom w:type="dxa" w:w="120"/>
              <w:right w:type="dxa" w:w="160"/>
            </w:tcMar>
            <w:vAlign w:val="top"/>
          </w:tcPr>
          <w:p>
            <w:pPr>
              <w:spacing w:after="0" w:line="260"/>
            </w:pPr>
            <w:r>
              <w:rPr>
                <w:sz w:val="18"/>
                <w:szCs w:val="18"/>
              </w:rPr>
              <w:t xml:space="preserve">Saint-Andre, P., Klensin, J., </w:t>
            </w:r>
            <w:r>
              <w:rPr>
                <w:i/>
                <w:iCs/>
                <w:sz w:val="18"/>
                <w:szCs w:val="18"/>
              </w:rPr>
              <w:t xml:space="preserve">Uniform Resource Names (URNs)</w:t>
            </w:r>
            <w:r>
              <w:rPr>
                <w:sz w:val="18"/>
                <w:szCs w:val="18"/>
              </w:rPr>
              <w:t xml:space="preserve">, RFC 8141, April 2017.</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sz w:val="18"/>
                <w:szCs w:val="18"/>
              </w:rPr>
              <w:t xml:space="preserve">[RFC9562]</w:t>
            </w:r>
          </w:p>
        </w:tc>
        <w:tc>
          <w:tcPr>
            <w:tcW w:type="dxa" w:w="7572"/>
            <w:shd w:fill="FFFFFF" w:color="auto" w:val="clear"/>
            <w:tcMar>
              <w:top w:type="dxa" w:w="120"/>
              <w:left w:type="dxa" w:w="160"/>
              <w:bottom w:type="dxa" w:w="120"/>
              <w:right w:type="dxa" w:w="160"/>
            </w:tcMar>
            <w:vAlign w:val="top"/>
          </w:tcPr>
          <w:p>
            <w:pPr>
              <w:spacing w:after="0" w:line="260"/>
            </w:pPr>
            <w:r>
              <w:rPr>
                <w:sz w:val="18"/>
                <w:szCs w:val="18"/>
              </w:rPr>
              <w:t xml:space="preserve">Davis, K., Peabody, B., Leach, P., </w:t>
            </w:r>
            <w:r>
              <w:rPr>
                <w:i/>
                <w:iCs/>
                <w:sz w:val="18"/>
                <w:szCs w:val="18"/>
              </w:rPr>
              <w:t xml:space="preserve">Universally Unique IDentifiers (UUIDs)</w:t>
            </w:r>
            <w:r>
              <w:rPr>
                <w:sz w:val="18"/>
                <w:szCs w:val="18"/>
              </w:rPr>
              <w:t xml:space="preserve">, RFC 9562, May 2024.</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sz w:val="18"/>
                <w:szCs w:val="18"/>
              </w:rPr>
              <w:t xml:space="preserve">[RFC3339]</w:t>
            </w:r>
          </w:p>
        </w:tc>
        <w:tc>
          <w:tcPr>
            <w:tcW w:type="dxa" w:w="7572"/>
            <w:shd w:fill="FAF9F6" w:color="auto" w:val="clear"/>
            <w:tcMar>
              <w:top w:type="dxa" w:w="120"/>
              <w:left w:type="dxa" w:w="160"/>
              <w:bottom w:type="dxa" w:w="120"/>
              <w:right w:type="dxa" w:w="160"/>
            </w:tcMar>
            <w:vAlign w:val="top"/>
          </w:tcPr>
          <w:p>
            <w:pPr>
              <w:spacing w:after="0" w:line="260"/>
            </w:pPr>
            <w:r>
              <w:rPr>
                <w:sz w:val="18"/>
                <w:szCs w:val="18"/>
              </w:rPr>
              <w:t xml:space="preserve">Klyne, G., Newman, C., </w:t>
            </w:r>
            <w:r>
              <w:rPr>
                <w:i/>
                <w:iCs/>
                <w:sz w:val="18"/>
                <w:szCs w:val="18"/>
              </w:rPr>
              <w:t xml:space="preserve">Date and Time on the Internet: Timestamps</w:t>
            </w:r>
            <w:r>
              <w:rPr>
                <w:sz w:val="18"/>
                <w:szCs w:val="18"/>
              </w:rPr>
              <w:t xml:space="preserve">, RFC 3339, July 2002.</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sz w:val="18"/>
                <w:szCs w:val="18"/>
              </w:rPr>
              <w:t xml:space="preserve">[RFC9557]</w:t>
            </w:r>
          </w:p>
        </w:tc>
        <w:tc>
          <w:tcPr>
            <w:tcW w:type="dxa" w:w="7572"/>
            <w:shd w:fill="FFFFFF" w:color="auto" w:val="clear"/>
            <w:tcMar>
              <w:top w:type="dxa" w:w="120"/>
              <w:left w:type="dxa" w:w="160"/>
              <w:bottom w:type="dxa" w:w="120"/>
              <w:right w:type="dxa" w:w="160"/>
            </w:tcMar>
            <w:vAlign w:val="top"/>
          </w:tcPr>
          <w:p>
            <w:pPr>
              <w:spacing w:after="0" w:line="260"/>
            </w:pPr>
            <w:r>
              <w:rPr>
                <w:sz w:val="18"/>
                <w:szCs w:val="18"/>
              </w:rPr>
              <w:t xml:space="preserve">Sharma, U., Ruiz, C., </w:t>
            </w:r>
            <w:r>
              <w:rPr>
                <w:i/>
                <w:iCs/>
                <w:sz w:val="18"/>
                <w:szCs w:val="18"/>
              </w:rPr>
              <w:t xml:space="preserve">Timestamps with Additional Information</w:t>
            </w:r>
            <w:r>
              <w:rPr>
                <w:sz w:val="18"/>
                <w:szCs w:val="18"/>
              </w:rPr>
              <w:t xml:space="preserve">, RFC 9557, April 2024. Applies where 7.3 permits an IXDTF suffix.</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sz w:val="18"/>
                <w:szCs w:val="18"/>
              </w:rPr>
              <w:t xml:space="preserve">[RFC5545]</w:t>
            </w:r>
          </w:p>
        </w:tc>
        <w:tc>
          <w:tcPr>
            <w:tcW w:type="dxa" w:w="7572"/>
            <w:shd w:fill="FAF9F6" w:color="auto" w:val="clear"/>
            <w:tcMar>
              <w:top w:type="dxa" w:w="120"/>
              <w:left w:type="dxa" w:w="160"/>
              <w:bottom w:type="dxa" w:w="120"/>
              <w:right w:type="dxa" w:w="160"/>
            </w:tcMar>
            <w:vAlign w:val="top"/>
          </w:tcPr>
          <w:p>
            <w:pPr>
              <w:spacing w:after="0" w:line="260"/>
            </w:pPr>
            <w:r>
              <w:rPr>
                <w:sz w:val="18"/>
                <w:szCs w:val="18"/>
              </w:rPr>
              <w:t xml:space="preserve">Desruisseaux, B., ed., </w:t>
            </w:r>
            <w:r>
              <w:rPr>
                <w:i/>
                <w:iCs/>
                <w:sz w:val="18"/>
                <w:szCs w:val="18"/>
              </w:rPr>
              <w:t xml:space="preserve">iCalendar</w:t>
            </w:r>
            <w:r>
              <w:rPr>
                <w:sz w:val="18"/>
                <w:szCs w:val="18"/>
              </w:rPr>
              <w:t xml:space="preserve">, RFC 5545, September 2009. Only the RECUR value type of section 3.3.10 is used.</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sz w:val="18"/>
                <w:szCs w:val="18"/>
              </w:rPr>
              <w:t xml:space="preserve">[RFC4648]</w:t>
            </w:r>
          </w:p>
        </w:tc>
        <w:tc>
          <w:tcPr>
            <w:tcW w:type="dxa" w:w="7572"/>
            <w:shd w:fill="FFFFFF" w:color="auto" w:val="clear"/>
            <w:tcMar>
              <w:top w:type="dxa" w:w="120"/>
              <w:left w:type="dxa" w:w="160"/>
              <w:bottom w:type="dxa" w:w="120"/>
              <w:right w:type="dxa" w:w="160"/>
            </w:tcMar>
            <w:vAlign w:val="top"/>
          </w:tcPr>
          <w:p>
            <w:pPr>
              <w:spacing w:after="0" w:line="260"/>
            </w:pPr>
            <w:r>
              <w:rPr>
                <w:sz w:val="18"/>
                <w:szCs w:val="18"/>
              </w:rPr>
              <w:t xml:space="preserve">Josefsson, S., </w:t>
            </w:r>
            <w:r>
              <w:rPr>
                <w:i/>
                <w:iCs/>
                <w:sz w:val="18"/>
                <w:szCs w:val="18"/>
              </w:rPr>
              <w:t xml:space="preserve">The Base16, Base32, and Base64 Data Encodings</w:t>
            </w:r>
            <w:r>
              <w:rPr>
                <w:sz w:val="18"/>
                <w:szCs w:val="18"/>
              </w:rPr>
              <w:t xml:space="preserve">, RFC 4648, October 2006.</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sz w:val="18"/>
                <w:szCs w:val="18"/>
              </w:rPr>
              <w:t xml:space="preserve">[RFC8785]</w:t>
            </w:r>
          </w:p>
        </w:tc>
        <w:tc>
          <w:tcPr>
            <w:tcW w:type="dxa" w:w="7572"/>
            <w:shd w:fill="FAF9F6" w:color="auto" w:val="clear"/>
            <w:tcMar>
              <w:top w:type="dxa" w:w="120"/>
              <w:left w:type="dxa" w:w="160"/>
              <w:bottom w:type="dxa" w:w="120"/>
              <w:right w:type="dxa" w:w="160"/>
            </w:tcMar>
            <w:vAlign w:val="top"/>
          </w:tcPr>
          <w:p>
            <w:pPr>
              <w:spacing w:after="0" w:line="260"/>
            </w:pPr>
            <w:r>
              <w:rPr>
                <w:sz w:val="18"/>
                <w:szCs w:val="18"/>
              </w:rPr>
              <w:t xml:space="preserve">Rundgren, A., Jordan, B., Erdtman, S., </w:t>
            </w:r>
            <w:r>
              <w:rPr>
                <w:i/>
                <w:iCs/>
                <w:sz w:val="18"/>
                <w:szCs w:val="18"/>
              </w:rPr>
              <w:t xml:space="preserve">JSON Canonicalization Scheme (JCS)</w:t>
            </w:r>
            <w:r>
              <w:rPr>
                <w:sz w:val="18"/>
                <w:szCs w:val="18"/>
              </w:rPr>
              <w:t xml:space="preserve">, RFC 8785, June 2020.</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sz w:val="18"/>
                <w:szCs w:val="18"/>
              </w:rPr>
              <w:t xml:space="preserve">[RFC8259]</w:t>
            </w:r>
          </w:p>
        </w:tc>
        <w:tc>
          <w:tcPr>
            <w:tcW w:type="dxa" w:w="7572"/>
            <w:shd w:fill="FFFFFF" w:color="auto" w:val="clear"/>
            <w:tcMar>
              <w:top w:type="dxa" w:w="120"/>
              <w:left w:type="dxa" w:w="160"/>
              <w:bottom w:type="dxa" w:w="120"/>
              <w:right w:type="dxa" w:w="160"/>
            </w:tcMar>
            <w:vAlign w:val="top"/>
          </w:tcPr>
          <w:p>
            <w:pPr>
              <w:spacing w:after="0" w:line="260"/>
            </w:pPr>
            <w:r>
              <w:rPr>
                <w:sz w:val="18"/>
                <w:szCs w:val="18"/>
              </w:rPr>
              <w:t xml:space="preserve">Bray, T., ed., </w:t>
            </w:r>
            <w:r>
              <w:rPr>
                <w:i/>
                <w:iCs/>
                <w:sz w:val="18"/>
                <w:szCs w:val="18"/>
              </w:rPr>
              <w:t xml:space="preserve">JSON</w:t>
            </w:r>
            <w:r>
              <w:rPr>
                <w:sz w:val="18"/>
                <w:szCs w:val="18"/>
              </w:rPr>
              <w:t xml:space="preserve">, STD 90, RFC 8259, December 2017.</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sz w:val="18"/>
                <w:szCs w:val="18"/>
              </w:rPr>
              <w:t xml:space="preserve">[RFC6838]</w:t>
            </w:r>
          </w:p>
        </w:tc>
        <w:tc>
          <w:tcPr>
            <w:tcW w:type="dxa" w:w="7572"/>
            <w:shd w:fill="FAF9F6" w:color="auto" w:val="clear"/>
            <w:tcMar>
              <w:top w:type="dxa" w:w="120"/>
              <w:left w:type="dxa" w:w="160"/>
              <w:bottom w:type="dxa" w:w="120"/>
              <w:right w:type="dxa" w:w="160"/>
            </w:tcMar>
            <w:vAlign w:val="top"/>
          </w:tcPr>
          <w:p>
            <w:pPr>
              <w:spacing w:after="0" w:line="260"/>
            </w:pPr>
            <w:r>
              <w:rPr>
                <w:sz w:val="18"/>
                <w:szCs w:val="18"/>
              </w:rPr>
              <w:t xml:space="preserve">Freed, N., Klensin, J., Hansen, T., </w:t>
            </w:r>
            <w:r>
              <w:rPr>
                <w:i/>
                <w:iCs/>
                <w:sz w:val="18"/>
                <w:szCs w:val="18"/>
              </w:rPr>
              <w:t xml:space="preserve">Media Type Specifications and Registration Procedures</w:t>
            </w:r>
            <w:r>
              <w:rPr>
                <w:sz w:val="18"/>
                <w:szCs w:val="18"/>
              </w:rPr>
              <w:t xml:space="preserve">, BCP 13, RFC 6838.</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sz w:val="18"/>
                <w:szCs w:val="18"/>
              </w:rPr>
              <w:t xml:space="preserve">[BCP47]</w:t>
            </w:r>
          </w:p>
        </w:tc>
        <w:tc>
          <w:tcPr>
            <w:tcW w:type="dxa" w:w="7572"/>
            <w:shd w:fill="FFFFFF" w:color="auto" w:val="clear"/>
            <w:tcMar>
              <w:top w:type="dxa" w:w="120"/>
              <w:left w:type="dxa" w:w="160"/>
              <w:bottom w:type="dxa" w:w="120"/>
              <w:right w:type="dxa" w:w="160"/>
            </w:tcMar>
            <w:vAlign w:val="top"/>
          </w:tcPr>
          <w:p>
            <w:pPr>
              <w:spacing w:after="0" w:line="260"/>
            </w:pPr>
            <w:r>
              <w:rPr>
                <w:sz w:val="18"/>
                <w:szCs w:val="18"/>
              </w:rPr>
              <w:t xml:space="preserve">Phillips, A., Davis, M., </w:t>
            </w:r>
            <w:r>
              <w:rPr>
                <w:i/>
                <w:iCs/>
                <w:sz w:val="18"/>
                <w:szCs w:val="18"/>
              </w:rPr>
              <w:t xml:space="preserve">Tags for Identifying Languages</w:t>
            </w:r>
            <w:r>
              <w:rPr>
                <w:sz w:val="18"/>
                <w:szCs w:val="18"/>
              </w:rPr>
              <w:t xml:space="preserve">, BCP 47.</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sz w:val="18"/>
                <w:szCs w:val="18"/>
              </w:rPr>
              <w:t xml:space="preserve">[JSONSCHEMA]</w:t>
            </w:r>
          </w:p>
        </w:tc>
        <w:tc>
          <w:tcPr>
            <w:tcW w:type="dxa" w:w="7572"/>
            <w:shd w:fill="FAF9F6" w:color="auto" w:val="clear"/>
            <w:tcMar>
              <w:top w:type="dxa" w:w="120"/>
              <w:left w:type="dxa" w:w="160"/>
              <w:bottom w:type="dxa" w:w="120"/>
              <w:right w:type="dxa" w:w="160"/>
            </w:tcMar>
            <w:vAlign w:val="top"/>
          </w:tcPr>
          <w:p>
            <w:pPr>
              <w:spacing w:after="0" w:line="260"/>
            </w:pPr>
            <w:r>
              <w:rPr>
                <w:i/>
                <w:iCs/>
                <w:sz w:val="18"/>
                <w:szCs w:val="18"/>
              </w:rPr>
              <w:t xml:space="preserve">JSON Schema</w:t>
            </w:r>
            <w:r>
              <w:rPr>
                <w:sz w:val="18"/>
                <w:szCs w:val="18"/>
              </w:rPr>
              <w:t xml:space="preserve">, draft 2020-12, identified by meta-schema URI </w:t>
            </w:r>
            <w:r>
              <w:rPr>
                <w:rFonts w:ascii="Consolas" w:cs="Consolas" w:eastAsia="Consolas" w:hAnsi="Consolas"/>
                <w:color w:val="1A1D21"/>
                <w:sz w:val="15"/>
                <w:szCs w:val="15"/>
                <w:shd w:fill="F2F1ED" w:color="auto" w:val="clear"/>
              </w:rPr>
              <w:t xml:space="preserve">https://json-schema.org/draft/2020-12/schema</w:t>
            </w:r>
            <w:r>
              <w:rPr>
                <w:sz w:val="18"/>
                <w:szCs w:val="18"/>
              </w:rPr>
              <w:t xml:space="preserve">.</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sz w:val="18"/>
                <w:szCs w:val="18"/>
              </w:rPr>
              <w:t xml:space="preserve">[FIPS180-4]</w:t>
            </w:r>
          </w:p>
        </w:tc>
        <w:tc>
          <w:tcPr>
            <w:tcW w:type="dxa" w:w="7572"/>
            <w:shd w:fill="FFFFFF" w:color="auto" w:val="clear"/>
            <w:tcMar>
              <w:top w:type="dxa" w:w="120"/>
              <w:left w:type="dxa" w:w="160"/>
              <w:bottom w:type="dxa" w:w="120"/>
              <w:right w:type="dxa" w:w="160"/>
            </w:tcMar>
            <w:vAlign w:val="top"/>
          </w:tcPr>
          <w:p>
            <w:pPr>
              <w:spacing w:after="0" w:line="260"/>
            </w:pPr>
            <w:r>
              <w:rPr>
                <w:sz w:val="18"/>
                <w:szCs w:val="18"/>
              </w:rPr>
              <w:t xml:space="preserve">NIST, </w:t>
            </w:r>
            <w:r>
              <w:rPr>
                <w:i/>
                <w:iCs/>
                <w:sz w:val="18"/>
                <w:szCs w:val="18"/>
              </w:rPr>
              <w:t xml:space="preserve">Secure Hash Standard (SHS)</w:t>
            </w:r>
            <w:r>
              <w:rPr>
                <w:sz w:val="18"/>
                <w:szCs w:val="18"/>
              </w:rPr>
              <w:t xml:space="preserve">, FIPS PUB 180-4, August 2015.</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sz w:val="18"/>
                <w:szCs w:val="18"/>
              </w:rPr>
              <w:t xml:space="preserve">[ISO8601-1]</w:t>
            </w:r>
          </w:p>
        </w:tc>
        <w:tc>
          <w:tcPr>
            <w:tcW w:type="dxa" w:w="7572"/>
            <w:shd w:fill="FAF9F6" w:color="auto" w:val="clear"/>
            <w:tcMar>
              <w:top w:type="dxa" w:w="120"/>
              <w:left w:type="dxa" w:w="160"/>
              <w:bottom w:type="dxa" w:w="120"/>
              <w:right w:type="dxa" w:w="160"/>
            </w:tcMar>
            <w:vAlign w:val="top"/>
          </w:tcPr>
          <w:p>
            <w:pPr>
              <w:spacing w:after="0" w:line="260"/>
            </w:pPr>
            <w:r>
              <w:rPr>
                <w:sz w:val="18"/>
                <w:szCs w:val="18"/>
              </w:rPr>
              <w:t xml:space="preserve">ISO 8601-1:2019 including Amendment 1:2022. Depended upon only through [RFC3339].</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sz w:val="18"/>
                <w:szCs w:val="18"/>
              </w:rPr>
              <w:t xml:space="preserve">[ISO21320-1]</w:t>
            </w:r>
          </w:p>
        </w:tc>
        <w:tc>
          <w:tcPr>
            <w:tcW w:type="dxa" w:w="7572"/>
            <w:shd w:fill="FFFFFF" w:color="auto" w:val="clear"/>
            <w:tcMar>
              <w:top w:type="dxa" w:w="120"/>
              <w:left w:type="dxa" w:w="160"/>
              <w:bottom w:type="dxa" w:w="120"/>
              <w:right w:type="dxa" w:w="160"/>
            </w:tcMar>
            <w:vAlign w:val="top"/>
          </w:tcPr>
          <w:p>
            <w:pPr>
              <w:spacing w:after="0" w:line="260"/>
            </w:pPr>
            <w:r>
              <w:rPr>
                <w:sz w:val="18"/>
                <w:szCs w:val="18"/>
              </w:rPr>
              <w:t xml:space="preserve">ISO/IEC 21320-1:2015, </w:t>
            </w:r>
            <w:r>
              <w:rPr>
                <w:i/>
                <w:iCs/>
                <w:sz w:val="18"/>
                <w:szCs w:val="18"/>
              </w:rPr>
              <w:t xml:space="preserve">Document Container File — Part 1: Core</w:t>
            </w:r>
            <w:r>
              <w:rPr>
                <w:sz w:val="18"/>
                <w:szCs w:val="18"/>
              </w:rPr>
              <w:t xml:space="preserve">. Constrains the ZIP container of 16.2.</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sz w:val="18"/>
                <w:szCs w:val="18"/>
              </w:rPr>
              <w:t xml:space="preserve">[ISO3166-1]</w:t>
            </w:r>
          </w:p>
        </w:tc>
        <w:tc>
          <w:tcPr>
            <w:tcW w:type="dxa" w:w="7572"/>
            <w:shd w:fill="FAF9F6" w:color="auto" w:val="clear"/>
            <w:tcMar>
              <w:top w:type="dxa" w:w="120"/>
              <w:left w:type="dxa" w:w="160"/>
              <w:bottom w:type="dxa" w:w="120"/>
              <w:right w:type="dxa" w:w="160"/>
            </w:tcMar>
            <w:vAlign w:val="top"/>
          </w:tcPr>
          <w:p>
            <w:pPr>
              <w:spacing w:after="0" w:line="260"/>
            </w:pPr>
            <w:r>
              <w:rPr>
                <w:sz w:val="18"/>
                <w:szCs w:val="18"/>
              </w:rPr>
              <w:t xml:space="preserve">ISO 3166-1 alpha-2 country codes.</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sz w:val="18"/>
                <w:szCs w:val="18"/>
              </w:rPr>
              <w:t xml:space="preserve">[ISO19111]</w:t>
            </w:r>
          </w:p>
        </w:tc>
        <w:tc>
          <w:tcPr>
            <w:tcW w:type="dxa" w:w="7572"/>
            <w:shd w:fill="FFFFFF" w:color="auto" w:val="clear"/>
            <w:tcMar>
              <w:top w:type="dxa" w:w="120"/>
              <w:left w:type="dxa" w:w="160"/>
              <w:bottom w:type="dxa" w:w="120"/>
              <w:right w:type="dxa" w:w="160"/>
            </w:tcMar>
            <w:vAlign w:val="top"/>
          </w:tcPr>
          <w:p>
            <w:pPr>
              <w:spacing w:after="0" w:line="260"/>
            </w:pPr>
            <w:r>
              <w:rPr>
                <w:sz w:val="18"/>
                <w:szCs w:val="18"/>
              </w:rPr>
              <w:t xml:space="preserve">ISO 19111:2019, </w:t>
            </w:r>
            <w:r>
              <w:rPr>
                <w:i/>
                <w:iCs/>
                <w:sz w:val="18"/>
                <w:szCs w:val="18"/>
              </w:rPr>
              <w:t xml:space="preserve">Geographic information — Referencing by coordinates</w:t>
            </w:r>
            <w:r>
              <w:rPr>
                <w:sz w:val="18"/>
                <w:szCs w:val="18"/>
              </w:rPr>
              <w:t xml:space="preserve">. Cited for the coordinate reference system identifier of 13.3.</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sz w:val="18"/>
                <w:szCs w:val="18"/>
              </w:rPr>
              <w:t xml:space="preserve">[TZDB]</w:t>
            </w:r>
          </w:p>
        </w:tc>
        <w:tc>
          <w:tcPr>
            <w:tcW w:type="dxa" w:w="7572"/>
            <w:shd w:fill="FAF9F6" w:color="auto" w:val="clear"/>
            <w:tcMar>
              <w:top w:type="dxa" w:w="120"/>
              <w:left w:type="dxa" w:w="160"/>
              <w:bottom w:type="dxa" w:w="120"/>
              <w:right w:type="dxa" w:w="160"/>
            </w:tcMar>
            <w:vAlign w:val="top"/>
          </w:tcPr>
          <w:p>
            <w:pPr>
              <w:spacing w:after="0" w:line="260"/>
            </w:pPr>
            <w:r>
              <w:rPr>
                <w:sz w:val="18"/>
                <w:szCs w:val="18"/>
              </w:rPr>
              <w:t xml:space="preserve">IANA Time Zone Database.</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sz w:val="18"/>
                <w:szCs w:val="18"/>
              </w:rPr>
              <w:t xml:space="preserve">[BUSUNITS]</w:t>
            </w:r>
          </w:p>
        </w:tc>
        <w:tc>
          <w:tcPr>
            <w:tcW w:type="dxa" w:w="7572"/>
            <w:shd w:fill="FFFFFF" w:color="auto" w:val="clear"/>
            <w:tcMar>
              <w:top w:type="dxa" w:w="120"/>
              <w:left w:type="dxa" w:w="160"/>
              <w:bottom w:type="dxa" w:w="120"/>
              <w:right w:type="dxa" w:w="160"/>
            </w:tcMar>
            <w:vAlign w:val="top"/>
          </w:tcPr>
          <w:p>
            <w:pPr>
              <w:spacing w:after="0" w:line="260"/>
            </w:pPr>
            <w:r>
              <w:rPr>
                <w:sz w:val="18"/>
                <w:szCs w:val="18"/>
              </w:rPr>
              <w:t xml:space="preserve">Annex C of this document. The unit code vocabulary.</w:t>
            </w:r>
          </w:p>
        </w:tc>
      </w:tr>
    </w:tbl>
    <w:p>
      <w:pPr>
        <w:pStyle w:val="NoteCopy"/>
      </w:pPr>
      <w:r>
        <w:rPr>
          <w:b/>
          <w:bCs/>
          <w:color w:val="70757C"/>
          <w:sz w:val="18"/>
          <w:szCs w:val="18"/>
        </w:rPr>
        <w:t xml:space="preserve">NOTE </w:t>
      </w:r>
      <w:r>
        <w:rPr>
          <w:color w:val="70757C"/>
          <w:sz w:val="18"/>
          <w:szCs w:val="18"/>
        </w:rPr>
        <w:t xml:space="preserve">[ISO19111] is new in v0.2 and is cited only so that a georeference names its coordinate reference system in a recognized way. This specification does not otherwise depend on geographic information standards.</w:t>
      </w:r>
    </w:p>
    <w:p>
      <w:pPr>
        <w:pStyle w:val="NoteCopy"/>
      </w:pPr>
      <w:r>
        <w:rPr>
          <w:b/>
          <w:bCs/>
          <w:color w:val="70757C"/>
          <w:sz w:val="18"/>
          <w:szCs w:val="18"/>
        </w:rPr>
        <w:t xml:space="preserve">NOTE </w:t>
      </w:r>
      <w:r>
        <w:rPr>
          <w:color w:val="70757C"/>
          <w:sz w:val="18"/>
          <w:szCs w:val="18"/>
        </w:rPr>
        <w:t xml:space="preserve">Unit codes are defined in Annex C rather than adopted from an external registry. Annex C.3 publishes a mapping to the Unified Code for Units of Measure for implementations that need one; that mapping is informative and no conformance requirement depends on it.</w:t>
      </w:r>
    </w:p>
    <w:p>
      <w:pPr>
        <w:pStyle w:val="Heading1"/>
      </w:pPr>
      <w:r>
        <w:rPr>
          <w:rFonts w:ascii="Georgia" w:cs="Georgia" w:eastAsia="Georgia" w:hAnsi="Georgia"/>
          <w:color w:val="8C6D46"/>
        </w:rPr>
        <w:t xml:space="preserve">4</w:t>
      </w:r>
      <w:r>
        <w:t xml:space="preserve">  </w:t>
      </w:r>
      <w:r>
        <w:t xml:space="preserve">Terms and definitions</w:t>
      </w:r>
    </w:p>
    <w:p>
      <w:pPr>
        <w:spacing w:after="160" w:before="0"/>
      </w:pPr>
      <w:r>
        <w:rPr>
          <w:rFonts w:ascii="Calibri" w:cs="Calibri" w:eastAsia="Calibri" w:hAnsi="Calibri"/>
          <w:b/>
          <w:bCs/>
          <w:color w:val="8C6D46"/>
          <w:spacing w:val="40"/>
          <w:sz w:val="14"/>
          <w:szCs w:val="14"/>
        </w:rPr>
        <w:t xml:space="preserve">AGREED</w:t>
      </w:r>
    </w:p>
    <w:p>
      <w:pPr>
        <w:pStyle w:val="BodyCopy"/>
      </w:pPr>
      <w:r>
        <w:t xml:space="preserve">Terms are defined in the sense used here, which may be narrower than industry usage.</w:t>
      </w:r>
    </w:p>
    <w:p>
      <w:pPr>
        <w:keepNext/>
        <w:spacing w:after="40" w:before="160"/>
      </w:pPr>
      <w:r>
        <w:rPr>
          <w:rFonts w:ascii="Calibri" w:cs="Calibri" w:eastAsia="Calibri" w:hAnsi="Calibri"/>
          <w:b/>
          <w:bCs/>
          <w:color w:val="1A1D21"/>
          <w:sz w:val="21"/>
          <w:szCs w:val="21"/>
        </w:rPr>
        <w:t xml:space="preserve">building understanding</w:t>
      </w:r>
    </w:p>
    <w:p>
      <w:pPr>
        <w:pStyle w:val="DefCopy"/>
      </w:pPr>
      <w:r>
        <w:t xml:space="preserve">The complete set of assertions about a building that a competent operator would need in order to run it as it is currently run: what exists, how it is arranged, how it is connected, what it is for, how it is operated through, what is known about it, and where each assertion came from.</w:t>
      </w:r>
    </w:p>
    <w:p>
      <w:pPr>
        <w:keepNext/>
        <w:spacing w:after="40" w:before="160"/>
      </w:pPr>
      <w:r>
        <w:rPr>
          <w:rFonts w:ascii="Calibri" w:cs="Calibri" w:eastAsia="Calibri" w:hAnsi="Calibri"/>
          <w:b/>
          <w:bCs/>
          <w:color w:val="1A1D21"/>
          <w:sz w:val="21"/>
          <w:szCs w:val="21"/>
        </w:rPr>
        <w:t xml:space="preserve">portable understanding</w:t>
      </w:r>
    </w:p>
    <w:p>
      <w:pPr>
        <w:pStyle w:val="DefCopy"/>
      </w:pPr>
      <w:r>
        <w:t xml:space="preserve">That subset of building understanding which this standard requires to survive transfer between conforming systems.</w:t>
      </w:r>
    </w:p>
    <w:p>
      <w:pPr>
        <w:keepNext/>
        <w:spacing w:after="40" w:before="160"/>
      </w:pPr>
      <w:r>
        <w:rPr>
          <w:rFonts w:ascii="Calibri" w:cs="Calibri" w:eastAsia="Calibri" w:hAnsi="Calibri"/>
          <w:b/>
          <w:bCs/>
          <w:color w:val="1A1D21"/>
          <w:sz w:val="21"/>
          <w:szCs w:val="21"/>
        </w:rPr>
        <w:t xml:space="preserve">entity</w:t>
      </w:r>
    </w:p>
    <w:p>
      <w:pPr>
        <w:pStyle w:val="DefCopy"/>
      </w:pPr>
      <w:r>
        <w:t xml:space="preserve">Any addressable object in the model. Every entity has a durable identifier and a type. Relationships, bindings, and presentation elements are entities.</w:t>
      </w:r>
    </w:p>
    <w:p>
      <w:pPr>
        <w:keepNext/>
        <w:spacing w:after="40" w:before="160"/>
      </w:pPr>
      <w:r>
        <w:rPr>
          <w:rFonts w:ascii="Calibri" w:cs="Calibri" w:eastAsia="Calibri" w:hAnsi="Calibri"/>
          <w:b/>
          <w:bCs/>
          <w:color w:val="1A1D21"/>
          <w:sz w:val="21"/>
          <w:szCs w:val="21"/>
        </w:rPr>
        <w:t xml:space="preserve">intrinsic</w:t>
      </w:r>
    </w:p>
    <w:p>
      <w:pPr>
        <w:pStyle w:val="DefCopy"/>
      </w:pPr>
      <w:r>
        <w:t xml:space="preserve">True of a thing in itself, independently of anything else. The test that decides whether a fact is a property or a relationship (5.3.1).</w:t>
      </w:r>
    </w:p>
    <w:p>
      <w:pPr>
        <w:keepNext/>
        <w:spacing w:after="40" w:before="160"/>
      </w:pPr>
      <w:r>
        <w:rPr>
          <w:rFonts w:ascii="Calibri" w:cs="Calibri" w:eastAsia="Calibri" w:hAnsi="Calibri"/>
          <w:b/>
          <w:bCs/>
          <w:color w:val="1A1D21"/>
          <w:sz w:val="21"/>
          <w:szCs w:val="21"/>
        </w:rPr>
        <w:t xml:space="preserve">point</w:t>
      </w:r>
    </w:p>
    <w:p>
      <w:pPr>
        <w:pStyle w:val="DefCopy"/>
      </w:pPr>
      <w:r>
        <w:t xml:space="preserve">An addressable item of operational data: a measurement, an instruction, a state, a configured parameter, a calculated value, or a meter register. A point is not a value; it is the thing a value is about.</w:t>
      </w:r>
    </w:p>
    <w:p>
      <w:pPr>
        <w:keepNext/>
        <w:spacing w:after="40" w:before="160"/>
      </w:pPr>
      <w:r>
        <w:rPr>
          <w:rFonts w:ascii="Calibri" w:cs="Calibri" w:eastAsia="Calibri" w:hAnsi="Calibri"/>
          <w:b/>
          <w:bCs/>
          <w:color w:val="1A1D21"/>
          <w:sz w:val="21"/>
          <w:szCs w:val="21"/>
        </w:rPr>
        <w:t xml:space="preserve">property definition</w:t>
      </w:r>
    </w:p>
    <w:p>
      <w:pPr>
        <w:pStyle w:val="DefCopy"/>
      </w:pPr>
      <w:r>
        <w:t xml:space="preserve">A declaration of what a property name means, its datatype, and its unit. Required for every property an exporter emits (7.8).</w:t>
      </w:r>
    </w:p>
    <w:p>
      <w:pPr>
        <w:keepNext/>
        <w:spacing w:after="40" w:before="160"/>
      </w:pPr>
      <w:r>
        <w:rPr>
          <w:rFonts w:ascii="Calibri" w:cs="Calibri" w:eastAsia="Calibri" w:hAnsi="Calibri"/>
          <w:b/>
          <w:bCs/>
          <w:color w:val="1A1D21"/>
          <w:sz w:val="21"/>
          <w:szCs w:val="21"/>
        </w:rPr>
        <w:t xml:space="preserve">operational intent</w:t>
      </w:r>
    </w:p>
    <w:p>
      <w:pPr>
        <w:pStyle w:val="DefCopy"/>
      </w:pPr>
      <w:r>
        <w:t xml:space="preserve">What a building or system is expected to achieve, as distinct from what it is doing and what it has done.</w:t>
      </w:r>
    </w:p>
    <w:p>
      <w:pPr>
        <w:keepNext/>
        <w:spacing w:after="40" w:before="160"/>
      </w:pPr>
      <w:r>
        <w:rPr>
          <w:rFonts w:ascii="Calibri" w:cs="Calibri" w:eastAsia="Calibri" w:hAnsi="Calibri"/>
          <w:b/>
          <w:bCs/>
          <w:color w:val="1A1D21"/>
          <w:sz w:val="21"/>
          <w:szCs w:val="21"/>
        </w:rPr>
        <w:t xml:space="preserve">alarm definition</w:t>
      </w:r>
    </w:p>
    <w:p>
      <w:pPr>
        <w:pStyle w:val="DefCopy"/>
      </w:pPr>
      <w:r>
        <w:t xml:space="preserve">The durable definition of a condition, its limits and timing, its severity, and how it is to be routed, acknowledged, and shelved.</w:t>
      </w:r>
    </w:p>
    <w:p>
      <w:pPr>
        <w:keepNext/>
        <w:spacing w:after="40" w:before="160"/>
      </w:pPr>
      <w:r>
        <w:rPr>
          <w:rFonts w:ascii="Calibri" w:cs="Calibri" w:eastAsia="Calibri" w:hAnsi="Calibri"/>
          <w:b/>
          <w:bCs/>
          <w:color w:val="1A1D21"/>
          <w:sz w:val="21"/>
          <w:szCs w:val="21"/>
        </w:rPr>
        <w:t xml:space="preserve">event</w:t>
      </w:r>
    </w:p>
    <w:p>
      <w:pPr>
        <w:pStyle w:val="DefCopy"/>
      </w:pPr>
      <w:r>
        <w:t xml:space="preserve">A timestamped occurrence attached to a subject: an alarm instance, an override, a mode change, a command, a service action. Not a time-series sample.</w:t>
      </w:r>
    </w:p>
    <w:p>
      <w:pPr>
        <w:keepNext/>
        <w:spacing w:after="40" w:before="160"/>
      </w:pPr>
      <w:r>
        <w:rPr>
          <w:rFonts w:ascii="Calibri" w:cs="Calibri" w:eastAsia="Calibri" w:hAnsi="Calibri"/>
          <w:b/>
          <w:bCs/>
          <w:color w:val="1A1D21"/>
          <w:sz w:val="21"/>
          <w:szCs w:val="21"/>
        </w:rPr>
        <w:t xml:space="preserve">drawing</w:t>
      </w:r>
    </w:p>
    <w:p>
      <w:pPr>
        <w:pStyle w:val="DefCopy"/>
      </w:pPr>
      <w:r>
        <w:t xml:space="preserve">A page of portable presentation: a floor plan, equipment graphic, schematic, or one-line.</w:t>
      </w:r>
    </w:p>
    <w:p>
      <w:pPr>
        <w:keepNext/>
        <w:spacing w:after="40" w:before="160"/>
      </w:pPr>
      <w:r>
        <w:rPr>
          <w:rFonts w:ascii="Calibri" w:cs="Calibri" w:eastAsia="Calibri" w:hAnsi="Calibri"/>
          <w:b/>
          <w:bCs/>
          <w:color w:val="1A1D21"/>
          <w:sz w:val="21"/>
          <w:szCs w:val="21"/>
        </w:rPr>
        <w:t xml:space="preserve">element</w:t>
      </w:r>
    </w:p>
    <w:p>
      <w:pPr>
        <w:pStyle w:val="DefCopy"/>
      </w:pPr>
      <w:r>
        <w:t xml:space="preserve">A placed thing on a drawing, identified by a symbol role, an embedded figure, or geometry.</w:t>
      </w:r>
    </w:p>
    <w:p>
      <w:pPr>
        <w:keepNext/>
        <w:spacing w:after="40" w:before="160"/>
      </w:pPr>
      <w:r>
        <w:rPr>
          <w:rFonts w:ascii="Calibri" w:cs="Calibri" w:eastAsia="Calibri" w:hAnsi="Calibri"/>
          <w:b/>
          <w:bCs/>
          <w:color w:val="1A1D21"/>
          <w:sz w:val="21"/>
          <w:szCs w:val="21"/>
        </w:rPr>
        <w:t xml:space="preserve">symbol role</w:t>
      </w:r>
    </w:p>
    <w:p>
      <w:pPr>
        <w:pStyle w:val="DefCopy"/>
      </w:pPr>
      <w:r>
        <w:t xml:space="preserve">A hierarchical dotted path naming what an element depicts, independently of how it is drawn.</w:t>
      </w:r>
    </w:p>
    <w:p>
      <w:pPr>
        <w:keepNext/>
        <w:spacing w:after="40" w:before="160"/>
      </w:pPr>
      <w:r>
        <w:rPr>
          <w:rFonts w:ascii="Calibri" w:cs="Calibri" w:eastAsia="Calibri" w:hAnsi="Calibri"/>
          <w:b/>
          <w:bCs/>
          <w:color w:val="1A1D21"/>
          <w:sz w:val="21"/>
          <w:szCs w:val="21"/>
        </w:rPr>
        <w:t xml:space="preserve">binding</w:t>
      </w:r>
    </w:p>
    <w:p>
      <w:pPr>
        <w:pStyle w:val="DefCopy"/>
      </w:pPr>
      <w:r>
        <w:t xml:space="preserve">A declaration that an element is driven by, or writes to, a building entity through a named channel.</w:t>
      </w:r>
    </w:p>
    <w:p>
      <w:pPr>
        <w:keepNext/>
        <w:spacing w:after="40" w:before="160"/>
      </w:pPr>
      <w:r>
        <w:rPr>
          <w:rFonts w:ascii="Calibri" w:cs="Calibri" w:eastAsia="Calibri" w:hAnsi="Calibri"/>
          <w:b/>
          <w:bCs/>
          <w:color w:val="1A1D21"/>
          <w:sz w:val="21"/>
          <w:szCs w:val="21"/>
        </w:rPr>
        <w:t xml:space="preserve">channel</w:t>
      </w:r>
    </w:p>
    <w:p>
      <w:pPr>
        <w:pStyle w:val="DefCopy"/>
      </w:pPr>
      <w:r>
        <w:t xml:space="preserve">The aspect of an element that a bound value drives: its displayed value, its state, its fill, its rotation, and so on. A closed vocabulary (13.6.1).</w:t>
      </w:r>
    </w:p>
    <w:p>
      <w:pPr>
        <w:keepNext/>
        <w:spacing w:after="40" w:before="160"/>
      </w:pPr>
      <w:r>
        <w:rPr>
          <w:rFonts w:ascii="Calibri" w:cs="Calibri" w:eastAsia="Calibri" w:hAnsi="Calibri"/>
          <w:b/>
          <w:bCs/>
          <w:color w:val="1A1D21"/>
          <w:sz w:val="21"/>
          <w:szCs w:val="21"/>
        </w:rPr>
        <w:t xml:space="preserve">telemetry binding</w:t>
      </w:r>
    </w:p>
    <w:p>
      <w:pPr>
        <w:pStyle w:val="DefCopy"/>
      </w:pPr>
      <w:r>
        <w:t xml:space="preserve">The protocol-specific information needed to reach a point in a live system. Distinct from a presentation binding.</w:t>
      </w:r>
    </w:p>
    <w:p>
      <w:pPr>
        <w:keepNext/>
        <w:spacing w:after="40" w:before="160"/>
      </w:pPr>
      <w:r>
        <w:rPr>
          <w:rFonts w:ascii="Calibri" w:cs="Calibri" w:eastAsia="Calibri" w:hAnsi="Calibri"/>
          <w:b/>
          <w:bCs/>
          <w:color w:val="1A1D21"/>
          <w:sz w:val="21"/>
          <w:szCs w:val="21"/>
        </w:rPr>
        <w:t xml:space="preserve">exchange package</w:t>
      </w:r>
    </w:p>
    <w:p>
      <w:pPr>
        <w:pStyle w:val="DefCopy"/>
      </w:pPr>
      <w:r>
        <w:t xml:space="preserve">A single artifact conveying a portable understanding of one or more buildings, with a manifest that declares and verifies its contents.</w:t>
      </w:r>
    </w:p>
    <w:p>
      <w:pPr>
        <w:keepNext/>
        <w:spacing w:after="40" w:before="160"/>
      </w:pPr>
      <w:r>
        <w:rPr>
          <w:rFonts w:ascii="Calibri" w:cs="Calibri" w:eastAsia="Calibri" w:hAnsi="Calibri"/>
          <w:b/>
          <w:bCs/>
          <w:color w:val="1A1D21"/>
          <w:sz w:val="21"/>
          <w:szCs w:val="21"/>
        </w:rPr>
        <w:t xml:space="preserve">reconstruction</w:t>
      </w:r>
    </w:p>
    <w:p>
      <w:pPr>
        <w:pStyle w:val="DefCopy"/>
      </w:pPr>
      <w:r>
        <w:t xml:space="preserve">Building, in a receiving system, a portable understanding semantically equivalent to the one in a package, without assistance from the system that produced it.</w:t>
      </w:r>
    </w:p>
    <w:p>
      <w:pPr>
        <w:keepNext/>
        <w:spacing w:after="40" w:before="160"/>
      </w:pPr>
      <w:r>
        <w:rPr>
          <w:rFonts w:ascii="Calibri" w:cs="Calibri" w:eastAsia="Calibri" w:hAnsi="Calibri"/>
          <w:b/>
          <w:bCs/>
          <w:color w:val="1A1D21"/>
          <w:sz w:val="21"/>
          <w:szCs w:val="21"/>
        </w:rPr>
        <w:t xml:space="preserve">semantic equivalence</w:t>
      </w:r>
    </w:p>
    <w:p>
      <w:pPr>
        <w:pStyle w:val="DefCopy"/>
      </w:pPr>
      <w:r>
        <w:t xml:space="preserve">The relation holding between two models when, after canonicalization, there is a mapping between their entities preserving identity, type, normative properties, and the labeled relationship graph. Defined operationally in 17.5.</w:t>
      </w:r>
    </w:p>
    <w:p>
      <w:pPr>
        <w:keepNext/>
        <w:spacing w:after="40" w:before="160"/>
      </w:pPr>
      <w:r>
        <w:rPr>
          <w:rFonts w:ascii="Calibri" w:cs="Calibri" w:eastAsia="Calibri" w:hAnsi="Calibri"/>
          <w:b/>
          <w:bCs/>
          <w:color w:val="1A1D21"/>
          <w:sz w:val="21"/>
          <w:szCs w:val="21"/>
        </w:rPr>
        <w:t xml:space="preserve">completeness declaration</w:t>
      </w:r>
    </w:p>
    <w:p>
      <w:pPr>
        <w:pStyle w:val="DefCopy"/>
      </w:pPr>
      <w:r>
        <w:t xml:space="preserve">The mandatory statement, in the manifest, of which substrate domains the package carries in full, in part, or not at all, and why.</w:t>
      </w:r>
    </w:p>
    <w:p>
      <w:pPr>
        <w:keepNext/>
        <w:spacing w:after="40" w:before="160"/>
      </w:pPr>
      <w:r>
        <w:rPr>
          <w:rFonts w:ascii="Calibri" w:cs="Calibri" w:eastAsia="Calibri" w:hAnsi="Calibri"/>
          <w:b/>
          <w:bCs/>
          <w:color w:val="1A1D21"/>
          <w:sz w:val="21"/>
          <w:szCs w:val="21"/>
        </w:rPr>
        <w:t xml:space="preserve">actuation</w:t>
      </w:r>
    </w:p>
    <w:p>
      <w:pPr>
        <w:pStyle w:val="DefCopy"/>
      </w:pPr>
      <w:r>
        <w:t xml:space="preserve">The capability, carried by a write binding, to command plant from a graphic.</w:t>
      </w:r>
    </w:p>
    <w:p>
      <w:pPr>
        <w:pStyle w:val="Heading1"/>
      </w:pPr>
      <w:r>
        <w:rPr>
          <w:rFonts w:ascii="Georgia" w:cs="Georgia" w:eastAsia="Georgia" w:hAnsi="Georgia"/>
          <w:color w:val="8C6D46"/>
        </w:rPr>
        <w:t xml:space="preserve">5</w:t>
      </w:r>
      <w:r>
        <w:t xml:space="preserve">  </w:t>
      </w:r>
      <w:r>
        <w:t xml:space="preserve">Architecture and design rules</w:t>
      </w:r>
    </w:p>
    <w:p>
      <w:pPr>
        <w:spacing w:after="160" w:before="0"/>
      </w:pPr>
      <w:r>
        <w:rPr>
          <w:rFonts w:ascii="Calibri" w:cs="Calibri" w:eastAsia="Calibri" w:hAnsi="Calibri"/>
          <w:b/>
          <w:bCs/>
          <w:color w:val="8C6D46"/>
          <w:spacing w:val="40"/>
          <w:sz w:val="14"/>
          <w:szCs w:val="14"/>
        </w:rPr>
        <w:t xml:space="preserve">AGREED</w:t>
      </w:r>
      <w:r>
        <w:t xml:space="preserve">   </w:t>
      </w:r>
      <w:r>
        <w:rPr>
          <w:i/>
          <w:iCs/>
          <w:color w:val="70757C"/>
          <w:sz w:val="17"/>
          <w:szCs w:val="17"/>
        </w:rPr>
        <w:t xml:space="preserve">The design rules of 5.3 are the generative principles of the model. Every entity-level decision in clauses 6 to 15 follows from them.</w:t>
      </w:r>
    </w:p>
    <w:p>
      <w:pPr>
        <w:pStyle w:val="Heading2"/>
      </w:pPr>
      <w:r>
        <w:rPr>
          <w:color w:val="8C6D46"/>
        </w:rPr>
        <w:t xml:space="preserve">5.1</w:t>
      </w:r>
      <w:r>
        <w:t xml:space="preserve">  </w:t>
      </w:r>
      <w:r>
        <w:t xml:space="preserve">Three layers</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2500"/>
        <w:gridCol w:w="4200"/>
        <w:gridCol w:w="2372"/>
      </w:tblGrid>
      <w:tr>
        <w:trPr>
          <w:cantSplit/>
          <w:tblHeader/>
        </w:trPr>
        <w:tc>
          <w:tcPr>
            <w:tcW w:type="dxa" w:w="25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Layer</w:t>
            </w:r>
          </w:p>
        </w:tc>
        <w:tc>
          <w:tcPr>
            <w:tcW w:type="dxa" w:w="42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What it fixes</w:t>
            </w:r>
          </w:p>
        </w:tc>
        <w:tc>
          <w:tcPr>
            <w:tcW w:type="dxa" w:w="23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Lifetime</w:t>
            </w:r>
          </w:p>
        </w:tc>
      </w:tr>
      <w:tr>
        <w:trPr>
          <w:cantSplit/>
        </w:trPr>
        <w:tc>
          <w:tcPr>
            <w:tcW w:type="dxa" w:w="2500"/>
            <w:shd w:fill="FFFFFF" w:color="auto" w:val="clear"/>
            <w:tcMar>
              <w:top w:type="dxa" w:w="120"/>
              <w:left w:type="dxa" w:w="160"/>
              <w:bottom w:type="dxa" w:w="120"/>
              <w:right w:type="dxa" w:w="160"/>
            </w:tcMar>
            <w:vAlign w:val="top"/>
          </w:tcPr>
          <w:p>
            <w:pPr>
              <w:spacing w:after="0" w:line="260"/>
            </w:pPr>
            <w:r>
              <w:rPr>
                <w:sz w:val="18"/>
                <w:szCs w:val="18"/>
              </w:rPr>
              <w:t xml:space="preserve">Information model (6 to 15)</w:t>
            </w:r>
          </w:p>
        </w:tc>
        <w:tc>
          <w:tcPr>
            <w:tcW w:type="dxa" w:w="4200"/>
            <w:shd w:fill="FFFFFF" w:color="auto" w:val="clear"/>
            <w:tcMar>
              <w:top w:type="dxa" w:w="120"/>
              <w:left w:type="dxa" w:w="160"/>
              <w:bottom w:type="dxa" w:w="120"/>
              <w:right w:type="dxa" w:w="160"/>
            </w:tcMar>
            <w:vAlign w:val="top"/>
          </w:tcPr>
          <w:p>
            <w:pPr>
              <w:spacing w:after="0" w:line="260"/>
            </w:pPr>
            <w:r>
              <w:rPr>
                <w:sz w:val="18"/>
                <w:szCs w:val="18"/>
              </w:rPr>
              <w:t xml:space="preserve">Classes, properties, relationships, and the rules relating them. Normative and encoding-neutral.</w:t>
            </w:r>
          </w:p>
        </w:tc>
        <w:tc>
          <w:tcPr>
            <w:tcW w:type="dxa" w:w="2372"/>
            <w:shd w:fill="FFFFFF" w:color="auto" w:val="clear"/>
            <w:tcMar>
              <w:top w:type="dxa" w:w="120"/>
              <w:left w:type="dxa" w:w="160"/>
              <w:bottom w:type="dxa" w:w="120"/>
              <w:right w:type="dxa" w:w="160"/>
            </w:tcMar>
            <w:vAlign w:val="top"/>
          </w:tcPr>
          <w:p>
            <w:pPr>
              <w:spacing w:after="0" w:line="260"/>
            </w:pPr>
            <w:r>
              <w:rPr>
                <w:sz w:val="18"/>
                <w:szCs w:val="18"/>
              </w:rPr>
              <w:t xml:space="preserve">Decades. Changes only through clause 18.</w:t>
            </w:r>
          </w:p>
        </w:tc>
      </w:tr>
      <w:tr>
        <w:trPr>
          <w:cantSplit/>
        </w:trPr>
        <w:tc>
          <w:tcPr>
            <w:tcW w:type="dxa" w:w="2500"/>
            <w:shd w:fill="FAF9F6" w:color="auto" w:val="clear"/>
            <w:tcMar>
              <w:top w:type="dxa" w:w="120"/>
              <w:left w:type="dxa" w:w="160"/>
              <w:bottom w:type="dxa" w:w="120"/>
              <w:right w:type="dxa" w:w="160"/>
            </w:tcMar>
            <w:vAlign w:val="top"/>
          </w:tcPr>
          <w:p>
            <w:pPr>
              <w:spacing w:after="0" w:line="260"/>
            </w:pPr>
            <w:r>
              <w:rPr>
                <w:sz w:val="18"/>
                <w:szCs w:val="18"/>
              </w:rPr>
              <w:t xml:space="preserve">Binding (17)</w:t>
            </w:r>
          </w:p>
        </w:tc>
        <w:tc>
          <w:tcPr>
            <w:tcW w:type="dxa" w:w="4200"/>
            <w:shd w:fill="FAF9F6" w:color="auto" w:val="clear"/>
            <w:tcMar>
              <w:top w:type="dxa" w:w="120"/>
              <w:left w:type="dxa" w:w="160"/>
              <w:bottom w:type="dxa" w:w="120"/>
              <w:right w:type="dxa" w:w="160"/>
            </w:tcMar>
            <w:vAlign w:val="top"/>
          </w:tcPr>
          <w:p>
            <w:pPr>
              <w:spacing w:after="0" w:line="260"/>
            </w:pPr>
            <w:r>
              <w:rPr>
                <w:sz w:val="18"/>
                <w:szCs w:val="18"/>
              </w:rPr>
              <w:t xml:space="preserve">How the model is written down. v0.2 defines one binding, in JSON.</w:t>
            </w:r>
          </w:p>
        </w:tc>
        <w:tc>
          <w:tcPr>
            <w:tcW w:type="dxa" w:w="2372"/>
            <w:shd w:fill="FAF9F6" w:color="auto" w:val="clear"/>
            <w:tcMar>
              <w:top w:type="dxa" w:w="120"/>
              <w:left w:type="dxa" w:w="160"/>
              <w:bottom w:type="dxa" w:w="120"/>
              <w:right w:type="dxa" w:w="160"/>
            </w:tcMar>
            <w:vAlign w:val="top"/>
          </w:tcPr>
          <w:p>
            <w:pPr>
              <w:spacing w:after="0" w:line="260"/>
            </w:pPr>
            <w:r>
              <w:rPr>
                <w:sz w:val="18"/>
                <w:szCs w:val="18"/>
              </w:rPr>
              <w:t xml:space="preserve">Years. Further bindings may be added without touching the model.</w:t>
            </w:r>
          </w:p>
        </w:tc>
      </w:tr>
      <w:tr>
        <w:trPr>
          <w:cantSplit/>
        </w:trPr>
        <w:tc>
          <w:tcPr>
            <w:tcW w:type="dxa" w:w="2500"/>
            <w:shd w:fill="FFFFFF" w:color="auto" w:val="clear"/>
            <w:tcMar>
              <w:top w:type="dxa" w:w="120"/>
              <w:left w:type="dxa" w:w="160"/>
              <w:bottom w:type="dxa" w:w="120"/>
              <w:right w:type="dxa" w:w="160"/>
            </w:tcMar>
            <w:vAlign w:val="top"/>
          </w:tcPr>
          <w:p>
            <w:pPr>
              <w:spacing w:after="0" w:line="260"/>
            </w:pPr>
            <w:r>
              <w:rPr>
                <w:sz w:val="18"/>
                <w:szCs w:val="18"/>
              </w:rPr>
              <w:t xml:space="preserve">Package (16)</w:t>
            </w:r>
          </w:p>
        </w:tc>
        <w:tc>
          <w:tcPr>
            <w:tcW w:type="dxa" w:w="4200"/>
            <w:shd w:fill="FFFFFF" w:color="auto" w:val="clear"/>
            <w:tcMar>
              <w:top w:type="dxa" w:w="120"/>
              <w:left w:type="dxa" w:w="160"/>
              <w:bottom w:type="dxa" w:w="120"/>
              <w:right w:type="dxa" w:w="160"/>
            </w:tcMar>
            <w:vAlign w:val="top"/>
          </w:tcPr>
          <w:p>
            <w:pPr>
              <w:spacing w:after="0" w:line="260"/>
            </w:pPr>
            <w:r>
              <w:rPr>
                <w:sz w:val="18"/>
                <w:szCs w:val="18"/>
              </w:rPr>
              <w:t xml:space="preserve">How bound documents and resources travel and are verified.</w:t>
            </w:r>
          </w:p>
        </w:tc>
        <w:tc>
          <w:tcPr>
            <w:tcW w:type="dxa" w:w="2372"/>
            <w:shd w:fill="FFFFFF" w:color="auto" w:val="clear"/>
            <w:tcMar>
              <w:top w:type="dxa" w:w="120"/>
              <w:left w:type="dxa" w:w="160"/>
              <w:bottom w:type="dxa" w:w="120"/>
              <w:right w:type="dxa" w:w="160"/>
            </w:tcMar>
            <w:vAlign w:val="top"/>
          </w:tcPr>
          <w:p>
            <w:pPr>
              <w:spacing w:after="0" w:line="260"/>
            </w:pPr>
            <w:r>
              <w:rPr>
                <w:sz w:val="18"/>
                <w:szCs w:val="18"/>
              </w:rPr>
              <w:t xml:space="preserve">Years. Container conventions change more often than the model.</w:t>
            </w:r>
          </w:p>
        </w:tc>
      </w:tr>
    </w:tbl>
    <w:p>
      <w:pPr>
        <w:pStyle w:val="BodyCopy"/>
      </w:pPr>
      <w:r>
        <w:t xml:space="preserve">An implementation that has encoded the JSON binding into its internal design, rather than the model, will find the second binding expensive. Implementers are warned.</w:t>
      </w:r>
    </w:p>
    <w:p>
      <w:pPr>
        <w:pStyle w:val="Heading2"/>
      </w:pPr>
      <w:r>
        <w:rPr>
          <w:color w:val="8C6D46"/>
        </w:rPr>
        <w:t xml:space="preserve">5.2</w:t>
      </w:r>
      <w:r>
        <w:t xml:space="preserve">  </w:t>
      </w:r>
      <w:r>
        <w:t xml:space="preserve">The boundary</w:t>
      </w:r>
    </w:p>
    <w:tbl>
      <w:tblPr>
        <w:tblW w:type="dxa" w:w="9072"/>
        <w:tblBorders>
          <w:top w:val="none" w:color="FFFFFF" w:sz="0"/>
          <w:left w:val="single" w:color="8C6D46" w:sz="24"/>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F5F3EE" w:color="auto" w:val="clear"/>
            <w:tcMar>
              <w:top w:type="dxa" w:w="200"/>
              <w:left w:type="dxa" w:w="260"/>
              <w:bottom w:type="dxa" w:w="200"/>
              <w:right w:type="dxa" w:w="260"/>
            </w:tcMar>
          </w:tcPr>
          <w:p>
            <w:pPr>
              <w:spacing w:after="80"/>
            </w:pPr>
            <w:r>
              <w:rPr>
                <w:rFonts w:ascii="Georgia" w:cs="Georgia" w:eastAsia="Georgia" w:hAnsi="Georgia"/>
                <w:b/>
                <w:bCs/>
                <w:color w:val="1A1D21"/>
                <w:sz w:val="22"/>
                <w:szCs w:val="22"/>
              </w:rPr>
              <w:t xml:space="preserve">The boundary test</w:t>
            </w:r>
          </w:p>
          <w:p>
            <w:pPr>
              <w:spacing w:after="0" w:line="280"/>
            </w:pPr>
            <w:r>
              <w:rPr>
                <w:sz w:val="20"/>
                <w:szCs w:val="20"/>
              </w:rPr>
              <w:t xml:space="preserve">If it describes the building, it belongs in the standard. If it describes the software experience, it belongs to the vendor.</w:t>
            </w:r>
          </w:p>
        </w:tc>
      </w:tr>
    </w:tbl>
    <w:p>
      <w:pPr>
        <w:spacing w:after="120"/>
      </w:pPr>
      <w:r>
        <w:rPr>
          <w:sz w:val="2"/>
          <w:szCs w:val="2"/>
        </w:rPr>
        <w:t xml:space="preserve"/>
      </w:r>
    </w:p>
    <w:p>
      <w:pPr>
        <w:pStyle w:val="BodyCopy"/>
      </w:pPr>
      <w:r>
        <w:t xml:space="preserve">Applied to a graphic, the same test divides four layers rather than two, and the line falls between the third and the fourth. Clause 13.1 sets this out; it is the most consequential application of the boundary in this document.</w:t>
      </w:r>
    </w:p>
    <w:p>
      <w:pPr>
        <w:pStyle w:val="Heading2"/>
      </w:pPr>
      <w:r>
        <w:rPr>
          <w:color w:val="8C6D46"/>
        </w:rPr>
        <w:t xml:space="preserve">5.3</w:t>
      </w:r>
      <w:r>
        <w:t xml:space="preserve">  </w:t>
      </w:r>
      <w:r>
        <w:t xml:space="preserve">Design rules</w:t>
      </w:r>
    </w:p>
    <w:p>
      <w:pPr>
        <w:pStyle w:val="BodyCopy"/>
      </w:pPr>
      <w:r>
        <w:t xml:space="preserve">Six rules generate the model. Where a later clause looks arbitrary, it is usually one of these applied.</w:t>
      </w:r>
    </w:p>
    <w:p>
      <w:pPr>
        <w:pStyle w:val="Heading3"/>
      </w:pPr>
      <w:r>
        <w:rPr>
          <w:color w:val="8C6D46"/>
        </w:rPr>
        <w:t xml:space="preserve">5.3.1</w:t>
      </w:r>
      <w:r>
        <w:t xml:space="preserve">  </w:t>
      </w:r>
      <w:r>
        <w:t xml:space="preserve">Objects own intrinsic properties only</w:t>
      </w:r>
    </w:p>
    <w:tbl>
      <w:tblPr>
        <w:tblW w:type="dxa" w:w="9072"/>
        <w:tblBorders>
          <w:top w:val="none" w:color="FFFFFF" w:sz="0"/>
          <w:left w:val="single" w:color="8C6D46" w:sz="24"/>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F5F3EE" w:color="auto" w:val="clear"/>
            <w:tcMar>
              <w:top w:type="dxa" w:w="200"/>
              <w:left w:type="dxa" w:w="260"/>
              <w:bottom w:type="dxa" w:w="200"/>
              <w:right w:type="dxa" w:w="260"/>
            </w:tcMar>
          </w:tcPr>
          <w:p>
            <w:pPr>
              <w:spacing w:after="80"/>
            </w:pPr>
            <w:r>
              <w:rPr>
                <w:rFonts w:ascii="Georgia" w:cs="Georgia" w:eastAsia="Georgia" w:hAnsi="Georgia"/>
                <w:b/>
                <w:bCs/>
                <w:color w:val="1A1D21"/>
                <w:sz w:val="22"/>
                <w:szCs w:val="22"/>
              </w:rPr>
              <w:t xml:space="preserve">Requirement 5.3-1</w:t>
            </w:r>
          </w:p>
          <w:p>
            <w:pPr>
              <w:spacing w:after="0" w:line="280"/>
            </w:pPr>
            <w:r>
              <w:rPr>
                <w:sz w:val="20"/>
                <w:szCs w:val="20"/>
              </w:rPr>
              <w:t xml:space="preserve">An entity </w:t>
            </w:r>
            <w:r>
              <w:rPr>
                <w:b/>
                <w:bCs/>
                <w:color w:val="8C6D46"/>
                <w:sz w:val="20"/>
                <w:szCs w:val="20"/>
              </w:rPr>
              <w:t xml:space="preserve">MUST</w:t>
            </w:r>
            <w:r>
              <w:rPr>
                <w:sz w:val="20"/>
                <w:szCs w:val="20"/>
              </w:rPr>
              <w:t xml:space="preserve"> carry only facts intrinsic to itself. Location, membership, service, control, measurement, and every other contextual fact </w:t>
            </w:r>
            <w:r>
              <w:rPr>
                <w:b/>
                <w:bCs/>
                <w:color w:val="8C6D46"/>
                <w:sz w:val="20"/>
                <w:szCs w:val="20"/>
              </w:rPr>
              <w:t xml:space="preserve">MUST</w:t>
            </w:r>
            <w:r>
              <w:rPr>
                <w:sz w:val="20"/>
                <w:szCs w:val="20"/>
              </w:rPr>
              <w:t xml:space="preserve"> be expressed as a typed relationship. An implementation </w:t>
            </w:r>
            <w:r>
              <w:rPr>
                <w:b/>
                <w:bCs/>
                <w:color w:val="8C6D46"/>
                <w:sz w:val="20"/>
                <w:szCs w:val="20"/>
              </w:rPr>
              <w:t xml:space="preserve">MUST NOT</w:t>
            </w:r>
            <w:r>
              <w:rPr>
                <w:sz w:val="20"/>
                <w:szCs w:val="20"/>
              </w:rPr>
              <w:t xml:space="preserve"> introduce convenience properties that duplicate a relationship.</w:t>
            </w:r>
          </w:p>
        </w:tc>
      </w:tr>
    </w:tbl>
    <w:p>
      <w:pPr>
        <w:spacing w:after="120"/>
      </w:pPr>
      <w:r>
        <w:rPr>
          <w:sz w:val="2"/>
          <w:szCs w:val="2"/>
        </w:rPr>
        <w:t xml:space="preserve"/>
      </w:r>
    </w:p>
    <w:p>
      <w:pPr>
        <w:pStyle w:val="BodyCopy"/>
      </w:pPr>
      <w:r>
        <w:t xml:space="preserve">This is the only generative principle in the model. For any candidate field it answers object-or-graph without further argument, and it catches the mistake every building schema makes: treating location as a property of a thing rather than a fact about a pair of things. The cost is verbosity. The benefit is that any given fact lives in exactly one place, so the two cannot diverge.</w:t>
      </w:r>
    </w:p>
    <w:p>
      <w:pPr>
        <w:pStyle w:val="NoteCopy"/>
      </w:pPr>
      <w:r>
        <w:rPr>
          <w:b/>
          <w:bCs/>
          <w:color w:val="70757C"/>
          <w:sz w:val="18"/>
          <w:szCs w:val="18"/>
        </w:rPr>
        <w:t xml:space="preserve">NOTE </w:t>
      </w:r>
      <w:r>
        <w:rPr>
          <w:color w:val="70757C"/>
          <w:sz w:val="18"/>
          <w:szCs w:val="18"/>
        </w:rPr>
        <w:t xml:space="preserve">Four constructs carry a reference intrinsically and are deliberate exceptions: </w:t>
      </w:r>
      <w:r>
        <w:rPr>
          <w:rFonts w:ascii="Consolas" w:cs="Consolas" w:eastAsia="Consolas" w:hAnsi="Consolas"/>
          <w:color w:val="1A1D21"/>
          <w:sz w:val="15"/>
          <w:szCs w:val="15"/>
          <w:shd w:fill="F2F1ED" w:color="auto" w:val="clear"/>
        </w:rPr>
        <w:t xml:space="preserve">Relationship</w:t>
      </w:r>
      <w:r>
        <w:rPr>
          <w:color w:val="70757C"/>
          <w:sz w:val="18"/>
          <w:szCs w:val="18"/>
        </w:rPr>
        <w:t xml:space="preserve"> names its subject and object; </w:t>
      </w:r>
      <w:r>
        <w:rPr>
          <w:rFonts w:ascii="Consolas" w:cs="Consolas" w:eastAsia="Consolas" w:hAnsi="Consolas"/>
          <w:color w:val="1A1D21"/>
          <w:sz w:val="15"/>
          <w:szCs w:val="15"/>
          <w:shd w:fill="F2F1ED" w:color="auto" w:val="clear"/>
        </w:rPr>
        <w:t xml:space="preserve">Binding</w:t>
      </w:r>
      <w:r>
        <w:rPr>
          <w:color w:val="70757C"/>
          <w:sz w:val="18"/>
          <w:szCs w:val="18"/>
        </w:rPr>
        <w:t xml:space="preserve"> names its element and target; </w:t>
      </w:r>
      <w:r>
        <w:rPr>
          <w:rFonts w:ascii="Consolas" w:cs="Consolas" w:eastAsia="Consolas" w:hAnsi="Consolas"/>
          <w:color w:val="1A1D21"/>
          <w:sz w:val="15"/>
          <w:szCs w:val="15"/>
          <w:shd w:fill="F2F1ED" w:color="auto" w:val="clear"/>
        </w:rPr>
        <w:t xml:space="preserve">Element</w:t>
      </w:r>
      <w:r>
        <w:rPr>
          <w:color w:val="70757C"/>
          <w:sz w:val="18"/>
          <w:szCs w:val="18"/>
        </w:rPr>
        <w:t xml:space="preserve"> names what it represents; </w:t>
      </w:r>
      <w:r>
        <w:rPr>
          <w:rFonts w:ascii="Consolas" w:cs="Consolas" w:eastAsia="Consolas" w:hAnsi="Consolas"/>
          <w:color w:val="1A1D21"/>
          <w:sz w:val="15"/>
          <w:szCs w:val="15"/>
          <w:shd w:fill="F2F1ED" w:color="auto" w:val="clear"/>
        </w:rPr>
        <w:t xml:space="preserve">Event</w:t>
      </w:r>
      <w:r>
        <w:rPr>
          <w:color w:val="70757C"/>
          <w:sz w:val="18"/>
          <w:szCs w:val="18"/>
        </w:rPr>
        <w:t xml:space="preserve"> names its subject. In each case the entity exists in order to connect, and would be meaningless without the reference. The exception is not available to ordinary entities.</w:t>
      </w:r>
    </w:p>
    <w:p>
      <w:pPr>
        <w:pStyle w:val="Heading3"/>
      </w:pPr>
      <w:r>
        <w:rPr>
          <w:color w:val="8C6D46"/>
        </w:rPr>
        <w:t xml:space="preserve">5.3.2</w:t>
      </w:r>
      <w:r>
        <w:t xml:space="preserve">  </w:t>
      </w:r>
      <w:r>
        <w:t xml:space="preserve">Relationships are first-class entities</w:t>
      </w:r>
    </w:p>
    <w:p>
      <w:pPr>
        <w:pStyle w:val="BodyCopy"/>
      </w:pPr>
      <w:r>
        <w:t xml:space="preserve">A relationship has its own identifier, type, endpoints, qualifiers, validity period, provenance, and extensions (clause 9). This costs roughly a third of package size in the worked example. It buys the ability to say who asserted a connection and on what evidence, to end a relationship without deleting either endpoint, and to let an extension say something about a connection rather than about its endpoints.</w:t>
      </w:r>
    </w:p>
    <w:p>
      <w:pPr>
        <w:pStyle w:val="Heading3"/>
      </w:pPr>
      <w:r>
        <w:rPr>
          <w:color w:val="8C6D46"/>
        </w:rPr>
        <w:t xml:space="preserve">5.3.3</w:t>
      </w:r>
      <w:r>
        <w:t xml:space="preserve">  </w:t>
      </w:r>
      <w:r>
        <w:t xml:space="preserve">Structure is specified; taxonomy is preserved</w:t>
      </w:r>
    </w:p>
    <w:p>
      <w:pPr>
        <w:pStyle w:val="BodyCopy"/>
      </w:pPr>
      <w:r>
        <w:t xml:space="preserve">The model defines a small structural class set and a controlled predicate set. It does not define what kinds of equipment exist. External classifications travel verbatim with their source vocabulary and version (7.7), and the shared vocabulary that does emerge grows bottom-up through property definitions (7.8) rather than top-down from a committee.</w:t>
      </w:r>
    </w:p>
    <w:p>
      <w:pPr>
        <w:pStyle w:val="Heading3"/>
      </w:pPr>
      <w:r>
        <w:rPr>
          <w:color w:val="8C6D46"/>
        </w:rPr>
        <w:t xml:space="preserve">5.3.4</w:t>
      </w:r>
      <w:r>
        <w:t xml:space="preserve">  </w:t>
      </w:r>
      <w:r>
        <w:t xml:space="preserve">Intent is separate from implementation and from state</w:t>
      </w:r>
    </w:p>
    <w:p>
      <w:pPr>
        <w:pStyle w:val="BodyCopy"/>
      </w:pPr>
      <w:r>
        <w:t xml:space="preserve">What a building is meant to do is modeled separately from what it is doing and what it did. Sequences implement intent and are connected to it by </w:t>
      </w:r>
      <w:r>
        <w:rPr>
          <w:rFonts w:ascii="Consolas" w:cs="Consolas" w:eastAsia="Consolas" w:hAnsi="Consolas"/>
          <w:color w:val="1A1D21"/>
          <w:sz w:val="18"/>
          <w:szCs w:val="18"/>
          <w:shd w:fill="F2F1ED" w:color="auto" w:val="clear"/>
        </w:rPr>
        <w:t xml:space="preserve">bus:implements</w:t>
      </w:r>
      <w:r>
        <w:t xml:space="preserve">; they are not part of it. Conflating the three is the most common way intent is lost in migration.</w:t>
      </w:r>
    </w:p>
    <w:p>
      <w:pPr>
        <w:pStyle w:val="Heading3"/>
      </w:pPr>
      <w:r>
        <w:rPr>
          <w:color w:val="8C6D46"/>
        </w:rPr>
        <w:t xml:space="preserve">5.3.5</w:t>
      </w:r>
      <w:r>
        <w:t xml:space="preserve">  </w:t>
      </w:r>
      <w:r>
        <w:t xml:space="preserve">Provenance is not metadata</w:t>
      </w:r>
    </w:p>
    <w:p>
      <w:pPr>
        <w:pStyle w:val="BodyCopy"/>
      </w:pPr>
      <w:r>
        <w:t xml:space="preserve">Any assertion may carry who made it, how, and how confident they were. An assertion whose origin is unknown is worth materially less thirty years later, and the model makes that visible rather than hiding it behind a uniform surface.</w:t>
      </w:r>
    </w:p>
    <w:p>
      <w:pPr>
        <w:pStyle w:val="Heading3"/>
      </w:pPr>
      <w:r>
        <w:rPr>
          <w:color w:val="8C6D46"/>
        </w:rPr>
        <w:t xml:space="preserve">5.3.6</w:t>
      </w:r>
      <w:r>
        <w:t xml:space="preserve">  </w:t>
      </w:r>
      <w:r>
        <w:t xml:space="preserve">Omission is allowed; silence is not</w:t>
      </w:r>
    </w:p>
    <w:p>
      <w:pPr>
        <w:pStyle w:val="BodyCopy"/>
      </w:pPr>
      <w:r>
        <w:t xml:space="preserve">No exporter can carry everything. An exporter that carries less </w:t>
      </w:r>
      <w:r>
        <w:rPr>
          <w:b/>
          <w:bCs/>
          <w:color w:val="8C6D46"/>
        </w:rPr>
        <w:t xml:space="preserve">MUST</w:t>
      </w:r>
      <w:r>
        <w:t xml:space="preserve"> say so, in a fixed vocabulary, in the manifest (16.6). This converts an unbounded quality problem into a bounded disclosure problem.</w:t>
      </w:r>
    </w:p>
    <w:p>
      <w:pPr>
        <w:pStyle w:val="Heading1"/>
      </w:pPr>
      <w:r>
        <w:rPr>
          <w:rFonts w:ascii="Georgia" w:cs="Georgia" w:eastAsia="Georgia" w:hAnsi="Georgia"/>
          <w:color w:val="8C6D46"/>
        </w:rPr>
        <w:t xml:space="preserve">6</w:t>
      </w:r>
      <w:r>
        <w:t xml:space="preserve">  </w:t>
      </w:r>
      <w:r>
        <w:t xml:space="preserve">Identity and addressing</w:t>
      </w:r>
    </w:p>
    <w:p>
      <w:pPr>
        <w:spacing w:after="160" w:before="0"/>
      </w:pPr>
      <w:r>
        <w:rPr>
          <w:rFonts w:ascii="Calibri" w:cs="Calibri" w:eastAsia="Calibri" w:hAnsi="Calibri"/>
          <w:b/>
          <w:bCs/>
          <w:color w:val="8C6D46"/>
          <w:spacing w:val="40"/>
          <w:sz w:val="14"/>
          <w:szCs w:val="14"/>
        </w:rPr>
        <w:t xml:space="preserve">AGREED</w:t>
      </w:r>
    </w:p>
    <w:p>
      <w:pPr>
        <w:pStyle w:val="BodyCopy"/>
      </w:pPr>
      <w:r>
        <w:t xml:space="preserve">Identity is the load-bearing wall of this standard. Every other guarantee — relationships, provenance, events, bindings, replacement — rests on the proposition that the thing referred to today is the thing referred to in twenty years.</w:t>
      </w:r>
    </w:p>
    <w:p>
      <w:pPr>
        <w:pStyle w:val="Heading2"/>
      </w:pPr>
      <w:r>
        <w:rPr>
          <w:color w:val="8C6D46"/>
        </w:rPr>
        <w:t xml:space="preserve">6.1</w:t>
      </w:r>
      <w:r>
        <w:t xml:space="preserve">  </w:t>
      </w:r>
      <w:r>
        <w:t xml:space="preserve">Identifier form</w:t>
      </w:r>
    </w:p>
    <w:p>
      <w:pPr>
        <w:pStyle w:val="BodyCopy"/>
      </w:pPr>
      <w:r>
        <w:t xml:space="preserve">Every entity </w:t>
      </w:r>
      <w:r>
        <w:rPr>
          <w:b/>
          <w:bCs/>
          <w:color w:val="8C6D46"/>
        </w:rPr>
        <w:t xml:space="preserve">MUST</w:t>
      </w:r>
      <w:r>
        <w:t xml:space="preserve"> carry an </w:t>
      </w:r>
      <w:r>
        <w:rPr>
          <w:rFonts w:ascii="Consolas" w:cs="Consolas" w:eastAsia="Consolas" w:hAnsi="Consolas"/>
          <w:color w:val="1A1D21"/>
          <w:sz w:val="18"/>
          <w:szCs w:val="18"/>
          <w:shd w:fill="F2F1ED" w:color="auto" w:val="clear"/>
        </w:rPr>
        <w:t xml:space="preserve">id</w:t>
      </w:r>
      <w:r>
        <w:t xml:space="preserve"> that is an absolute URI conforming to [RFC3986]. The </w:t>
      </w:r>
      <w:r>
        <w:rPr>
          <w:rFonts w:ascii="Consolas" w:cs="Consolas" w:eastAsia="Consolas" w:hAnsi="Consolas"/>
          <w:color w:val="1A1D21"/>
          <w:sz w:val="18"/>
          <w:szCs w:val="18"/>
          <w:shd w:fill="F2F1ED" w:color="auto" w:val="clear"/>
        </w:rPr>
        <w:t xml:space="preserve">urn:uuid</w:t>
      </w:r>
      <w:r>
        <w:t xml:space="preserve"> form is </w:t>
      </w:r>
      <w:r>
        <w:rPr>
          <w:b/>
          <w:bCs/>
          <w:color w:val="8C6D46"/>
        </w:rPr>
        <w:t xml:space="preserve">RECOMMENDED</w:t>
      </w:r>
      <w:r>
        <w:t xml:space="preserve">, and version 7 UUIDs are </w:t>
      </w:r>
      <w:r>
        <w:rPr>
          <w:b/>
          <w:bCs/>
          <w:color w:val="8C6D46"/>
        </w:rPr>
        <w:t xml:space="preserve">RECOMMENDED</w:t>
      </w:r>
      <w:r>
        <w:t xml:space="preserve"> within it because they sort by creation time and make large packages cheaper to diff.</w:t>
      </w:r>
    </w:p>
    <w:p>
      <w:pPr>
        <w:pStyle w:val="BodyCopy"/>
      </w:pPr>
      <w:r>
        <w:t xml:space="preserve">An implementation </w:t>
      </w:r>
      <w:r>
        <w:rPr>
          <w:b/>
          <w:bCs/>
          <w:color w:val="8C6D46"/>
        </w:rPr>
        <w:t xml:space="preserve">MAY</w:t>
      </w:r>
      <w:r>
        <w:t xml:space="preserve"> use </w:t>
      </w:r>
      <w:r>
        <w:rPr>
          <w:rFonts w:ascii="Consolas" w:cs="Consolas" w:eastAsia="Consolas" w:hAnsi="Consolas"/>
          <w:color w:val="1A1D21"/>
          <w:sz w:val="18"/>
          <w:szCs w:val="18"/>
          <w:shd w:fill="F2F1ED" w:color="auto" w:val="clear"/>
        </w:rPr>
        <w:t xml:space="preserve">https</w:t>
      </w:r>
      <w:r>
        <w:t xml:space="preserve"> URIs under a domain it controls. If it does, it </w:t>
      </w:r>
      <w:r>
        <w:rPr>
          <w:b/>
          <w:bCs/>
          <w:color w:val="8C6D46"/>
        </w:rPr>
        <w:t xml:space="preserve">MUST NOT</w:t>
      </w:r>
      <w:r>
        <w:t xml:space="preserve"> rely on those URIs being dereferenceable: a receiving system </w:t>
      </w:r>
      <w:r>
        <w:rPr>
          <w:b/>
          <w:bCs/>
          <w:color w:val="8C6D46"/>
        </w:rPr>
        <w:t xml:space="preserve">MUST</w:t>
      </w:r>
      <w:r>
        <w:t xml:space="preserve"> treat every identifier as an opaque string and </w:t>
      </w:r>
      <w:r>
        <w:rPr>
          <w:b/>
          <w:bCs/>
          <w:color w:val="8C6D46"/>
        </w:rPr>
        <w:t xml:space="preserve">MUST NOT</w:t>
      </w:r>
      <w:r>
        <w:t xml:space="preserve"> attempt retrieval in order to interpret the model. An identifier that must be fetched to be understood is a dependency on the exporting vendor and defeats 2.4.</w:t>
      </w:r>
    </w:p>
    <w:p>
      <w:pPr>
        <w:pStyle w:val="Heading2"/>
      </w:pPr>
      <w:r>
        <w:rPr>
          <w:color w:val="8C6D46"/>
        </w:rPr>
        <w:t xml:space="preserve">6.2</w:t>
      </w:r>
      <w:r>
        <w:t xml:space="preserve">  </w:t>
      </w:r>
      <w:r>
        <w:t xml:space="preserve">Uniqueness</w:t>
      </w:r>
    </w:p>
    <w:p>
      <w:pPr>
        <w:pStyle w:val="BodyCopy"/>
      </w:pPr>
      <w:r>
        <w:t xml:space="preserve">Within a package, an </w:t>
      </w:r>
      <w:r>
        <w:rPr>
          <w:rFonts w:ascii="Consolas" w:cs="Consolas" w:eastAsia="Consolas" w:hAnsi="Consolas"/>
          <w:color w:val="1A1D21"/>
          <w:sz w:val="18"/>
          <w:szCs w:val="18"/>
          <w:shd w:fill="F2F1ED" w:color="auto" w:val="clear"/>
        </w:rPr>
        <w:t xml:space="preserve">id</w:t>
      </w:r>
      <w:r>
        <w:t xml:space="preserve"> </w:t>
      </w:r>
      <w:r>
        <w:rPr>
          <w:b/>
          <w:bCs/>
          <w:color w:val="8C6D46"/>
        </w:rPr>
        <w:t xml:space="preserve">MUST NOT</w:t>
      </w:r>
      <w:r>
        <w:t xml:space="preserve"> occur more than once. Across packages describing the same building, an </w:t>
      </w:r>
      <w:r>
        <w:rPr>
          <w:rFonts w:ascii="Consolas" w:cs="Consolas" w:eastAsia="Consolas" w:hAnsi="Consolas"/>
          <w:color w:val="1A1D21"/>
          <w:sz w:val="18"/>
          <w:szCs w:val="18"/>
          <w:shd w:fill="F2F1ED" w:color="auto" w:val="clear"/>
        </w:rPr>
        <w:t xml:space="preserve">id</w:t>
      </w:r>
      <w:r>
        <w:t xml:space="preserve"> </w:t>
      </w:r>
      <w:r>
        <w:rPr>
          <w:b/>
          <w:bCs/>
          <w:color w:val="8C6D46"/>
        </w:rPr>
        <w:t xml:space="preserve">MUST</w:t>
      </w:r>
      <w:r>
        <w:t xml:space="preserve"> refer to the same entity. An exporter </w:t>
      </w:r>
      <w:r>
        <w:rPr>
          <w:b/>
          <w:bCs/>
          <w:color w:val="8C6D46"/>
        </w:rPr>
        <w:t xml:space="preserve">MUST NOT</w:t>
      </w:r>
      <w:r>
        <w:t xml:space="preserve"> mint an identifier unique only within its own database unless the scoping is explicit in the form.</w:t>
      </w:r>
    </w:p>
    <w:p>
      <w:pPr>
        <w:pStyle w:val="Heading2"/>
      </w:pPr>
      <w:r>
        <w:rPr>
          <w:color w:val="8C6D46"/>
        </w:rPr>
        <w:t xml:space="preserve">6.3</w:t>
      </w:r>
      <w:r>
        <w:t xml:space="preserve">  </w:t>
      </w:r>
      <w:r>
        <w:t xml:space="preserve">External identifiers</w:t>
      </w:r>
    </w:p>
    <w:p>
      <w:pPr>
        <w:pStyle w:val="BodyCopy"/>
      </w:pPr>
      <w:r>
        <w:t xml:space="preserve">An entity </w:t>
      </w:r>
      <w:r>
        <w:rPr>
          <w:b/>
          <w:bCs/>
          <w:color w:val="8C6D46"/>
        </w:rPr>
        <w:t xml:space="preserve">SHOULD</w:t>
      </w:r>
      <w:r>
        <w:t xml:space="preserve"> carry, in </w:t>
      </w:r>
      <w:r>
        <w:rPr>
          <w:rFonts w:ascii="Consolas" w:cs="Consolas" w:eastAsia="Consolas" w:hAnsi="Consolas"/>
          <w:color w:val="1A1D21"/>
          <w:sz w:val="18"/>
          <w:szCs w:val="18"/>
          <w:shd w:fill="F2F1ED" w:color="auto" w:val="clear"/>
        </w:rPr>
        <w:t xml:space="preserve">externalIds</w:t>
      </w:r>
      <w:r>
        <w:t xml:space="preserve">, every identifier by which other systems know it. This is how a receiving system re-establishes correspondence with a CMMS, a BIM model, a controller, or a spreadsheet this standard never touches.</w:t>
      </w:r>
    </w:p>
    <w:tbl>
      <w:tblPr>
        <w:tblW w:type="dxa" w:w="9072"/>
        <w:tblBorders>
          <w:top w:val="none" w:color="FFFFFF" w:sz="0"/>
          <w:left w:val="single" w:color="D9D4C9" w:sz="12"/>
          <w:bottom w:val="none" w:color="FFFFFF" w:sz="0"/>
          <w:right w:val="none" w:color="FFFFFF" w:sz="0"/>
          <w:insideH w:val="none" w:color="FFFFFF" w:sz="0"/>
          <w:insideV w:val="none" w:color="FFFFFF" w:sz="0"/>
        </w:tblBorders>
        <w:tblLayout w:type="fixed"/>
      </w:tblPr>
      <w:tblGrid>
        <w:gridCol w:w="9072"/>
      </w:tblGrid>
      <w:tr>
        <w:trPr>
          <w:cantSplit w:val="false"/>
        </w:trPr>
        <w:tc>
          <w:tcPr>
            <w:tcW w:type="dxa" w:w="9072"/>
            <w:shd w:fill="F2F1ED" w:color="auto" w:val="clear"/>
            <w:tcMar>
              <w:top w:type="dxa" w:w="160"/>
              <w:left w:type="dxa" w:w="220"/>
              <w:bottom w:type="dxa" w:w="160"/>
              <w:right w:type="dxa" w:w="200"/>
            </w:tcMar>
          </w:tcPr>
          <w:p>
            <w:pPr>
              <w:spacing w:after="20" w:line="240"/>
            </w:pPr>
            <w:r>
              <w:rPr>
                <w:rFonts w:ascii="Consolas" w:cs="Consolas" w:eastAsia="Consolas" w:hAnsi="Consolas"/>
                <w:color w:val="1A1D21"/>
                <w:sz w:val="16"/>
                <w:szCs w:val="16"/>
              </w:rPr>
              <w:t xml:space="preserve">"externalIds": [</w:t>
            </w:r>
          </w:p>
          <w:p>
            <w:pPr>
              <w:spacing w:after="20" w:line="240"/>
            </w:pPr>
            <w:r>
              <w:rPr>
                <w:rFonts w:ascii="Consolas" w:cs="Consolas" w:eastAsia="Consolas" w:hAnsi="Consolas"/>
                <w:color w:val="1A1D21"/>
                <w:sz w:val="16"/>
                <w:szCs w:val="16"/>
              </w:rPr>
              <w:t xml:space="preserve">  { "scheme": "org.bacnet.deviceInstance", "value": "201001",</w:t>
            </w:r>
          </w:p>
          <w:p>
            <w:pPr>
              <w:spacing w:after="20" w:line="240"/>
            </w:pPr>
            <w:r>
              <w:rPr>
                <w:rFonts w:ascii="Consolas" w:cs="Consolas" w:eastAsia="Consolas" w:hAnsi="Consolas"/>
                <w:color w:val="1A1D21"/>
                <w:sz w:val="16"/>
                <w:szCs w:val="16"/>
              </w:rPr>
              <w:t xml:space="preserve">    "authority": "BACnet/IP network 2001" },</w:t>
            </w:r>
          </w:p>
          <w:p>
            <w:pPr>
              <w:spacing w:after="20" w:line="240"/>
            </w:pPr>
            <w:r>
              <w:rPr>
                <w:rFonts w:ascii="Consolas" w:cs="Consolas" w:eastAsia="Consolas" w:hAnsi="Consolas"/>
                <w:color w:val="1A1D21"/>
                <w:sz w:val="16"/>
                <w:szCs w:val="16"/>
              </w:rPr>
              <w:t xml:space="preserve">  { "scheme": "org.buildingsmart.ifc.guid", "value": "1Xh2LmQz9E8vRk3TbYpQaB" },</w:t>
            </w:r>
          </w:p>
          <w:p>
            <w:pPr>
              <w:spacing w:after="20" w:line="240"/>
            </w:pPr>
            <w:r>
              <w:rPr>
                <w:rFonts w:ascii="Consolas" w:cs="Consolas" w:eastAsia="Consolas" w:hAnsi="Consolas"/>
                <w:color w:val="1A1D21"/>
                <w:sz w:val="16"/>
                <w:szCs w:val="16"/>
              </w:rPr>
              <w:t xml:space="preserve">  { "scheme": "com.example.cmms.assetId", "value": "AST-118240",</w:t>
            </w:r>
          </w:p>
          <w:p>
            <w:pPr>
              <w:spacing w:after="20" w:line="240"/>
            </w:pPr>
            <w:r>
              <w:rPr>
                <w:rFonts w:ascii="Consolas" w:cs="Consolas" w:eastAsia="Consolas" w:hAnsi="Consolas"/>
                <w:color w:val="1A1D21"/>
                <w:sz w:val="16"/>
                <w:szCs w:val="16"/>
              </w:rPr>
              <w:t xml:space="preserve">    "authority": "Maximo PRD" }</w:t>
            </w:r>
          </w:p>
          <w:p>
            <w:pPr>
              <w:spacing w:after="0" w:line="240"/>
            </w:pPr>
            <w:r>
              <w:rPr>
                <w:rFonts w:ascii="Consolas" w:cs="Consolas" w:eastAsia="Consolas" w:hAnsi="Consolas"/>
                <w:color w:val="1A1D21"/>
                <w:sz w:val="16"/>
                <w:szCs w:val="16"/>
              </w:rPr>
              <w:t xml:space="preserve">]</w:t>
            </w:r>
          </w:p>
        </w:tc>
      </w:tr>
    </w:tbl>
    <w:p>
      <w:pPr>
        <w:pStyle w:val="BodyCopy"/>
      </w:pPr>
      <w:r>
        <w:t xml:space="preserve">An importer </w:t>
      </w:r>
      <w:r>
        <w:rPr>
          <w:b/>
          <w:bCs/>
          <w:color w:val="8C6D46"/>
        </w:rPr>
        <w:t xml:space="preserve">MUST</w:t>
      </w:r>
      <w:r>
        <w:t xml:space="preserve"> preserve every external identifier it receives, including those whose scheme it does not recognize. They are frequently the only bridge back to a system that has since been replaced.</w:t>
      </w:r>
    </w:p>
    <w:p>
      <w:pPr>
        <w:pStyle w:val="Heading2"/>
      </w:pPr>
      <w:r>
        <w:rPr>
          <w:color w:val="8C6D46"/>
        </w:rPr>
        <w:t xml:space="preserve">6.4</w:t>
      </w:r>
      <w:r>
        <w:t xml:space="preserve">  </w:t>
      </w:r>
      <w:r>
        <w:t xml:space="preserve">Stability and identity mapping</w:t>
      </w:r>
    </w:p>
    <w:p>
      <w:pPr>
        <w:pStyle w:val="BodyCopy"/>
      </w:pPr>
      <w:r>
        <w:t xml:space="preserve">An exporter </w:t>
      </w:r>
      <w:r>
        <w:rPr>
          <w:b/>
          <w:bCs/>
          <w:color w:val="8C6D46"/>
        </w:rPr>
        <w:t xml:space="preserve">MUST NOT</w:t>
      </w:r>
      <w:r>
        <w:t xml:space="preserve"> change the </w:t>
      </w:r>
      <w:r>
        <w:rPr>
          <w:rFonts w:ascii="Consolas" w:cs="Consolas" w:eastAsia="Consolas" w:hAnsi="Consolas"/>
          <w:color w:val="1A1D21"/>
          <w:sz w:val="18"/>
          <w:szCs w:val="18"/>
          <w:shd w:fill="F2F1ED" w:color="auto" w:val="clear"/>
        </w:rPr>
        <w:t xml:space="preserve">id</w:t>
      </w:r>
      <w:r>
        <w:t xml:space="preserve"> of an entity between exports because of an internal event: a database migration, a rename, a re-commissioning, a change of asset tag, or a change of product version. Tests EX-2 and EX-3.</w:t>
      </w:r>
    </w:p>
    <w:tbl>
      <w:tblPr>
        <w:tblW w:type="dxa" w:w="9072"/>
        <w:tblBorders>
          <w:top w:val="none" w:color="FFFFFF" w:sz="0"/>
          <w:left w:val="single" w:color="8C6D46" w:sz="24"/>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F5F3EE" w:color="auto" w:val="clear"/>
            <w:tcMar>
              <w:top w:type="dxa" w:w="200"/>
              <w:left w:type="dxa" w:w="260"/>
              <w:bottom w:type="dxa" w:w="200"/>
              <w:right w:type="dxa" w:w="260"/>
            </w:tcMar>
          </w:tcPr>
          <w:p>
            <w:pPr>
              <w:spacing w:after="80"/>
            </w:pPr>
            <w:r>
              <w:rPr>
                <w:rFonts w:ascii="Georgia" w:cs="Georgia" w:eastAsia="Georgia" w:hAnsi="Georgia"/>
                <w:b/>
                <w:bCs/>
                <w:color w:val="1A1D21"/>
                <w:sz w:val="22"/>
                <w:szCs w:val="22"/>
              </w:rPr>
              <w:t xml:space="preserve">Requirement 6.4-1</w:t>
            </w:r>
          </w:p>
          <w:p>
            <w:pPr>
              <w:spacing w:after="0" w:line="280"/>
            </w:pPr>
            <w:r>
              <w:rPr>
                <w:sz w:val="20"/>
                <w:szCs w:val="20"/>
              </w:rPr>
              <w:t xml:space="preserve">An importer that reassigns identifiers </w:t>
            </w:r>
            <w:r>
              <w:rPr>
                <w:b/>
                <w:bCs/>
                <w:color w:val="8C6D46"/>
                <w:sz w:val="20"/>
                <w:szCs w:val="20"/>
              </w:rPr>
              <w:t xml:space="preserve">MUST</w:t>
            </w:r>
            <w:r>
              <w:rPr>
                <w:sz w:val="20"/>
                <w:szCs w:val="20"/>
              </w:rPr>
              <w:t xml:space="preserve"> emit, on subsequent export, a </w:t>
            </w:r>
            <w:r>
              <w:rPr>
                <w:rFonts w:ascii="Consolas" w:cs="Consolas" w:eastAsia="Consolas" w:hAnsi="Consolas"/>
                <w:color w:val="1A1D21"/>
                <w:sz w:val="17"/>
                <w:szCs w:val="17"/>
                <w:shd w:fill="F2F1ED" w:color="auto" w:val="clear"/>
              </w:rPr>
              <w:t xml:space="preserve">bus:IdentityMapping</w:t>
            </w:r>
            <w:r>
              <w:rPr>
                <w:sz w:val="20"/>
                <w:szCs w:val="20"/>
              </w:rPr>
              <w:t xml:space="preserve"> for every reassignment, with </w:t>
            </w:r>
            <w:r>
              <w:rPr>
                <w:rFonts w:ascii="Consolas" w:cs="Consolas" w:eastAsia="Consolas" w:hAnsi="Consolas"/>
                <w:color w:val="1A1D21"/>
                <w:sz w:val="17"/>
                <w:szCs w:val="17"/>
                <w:shd w:fill="F2F1ED" w:color="auto" w:val="clear"/>
              </w:rPr>
              <w:t xml:space="preserve">equivalence</w:t>
            </w:r>
            <w:r>
              <w:rPr>
                <w:sz w:val="20"/>
                <w:szCs w:val="20"/>
              </w:rPr>
              <w:t xml:space="preserve"> set to </w:t>
            </w:r>
            <w:r>
              <w:rPr>
                <w:rFonts w:ascii="Consolas" w:cs="Consolas" w:eastAsia="Consolas" w:hAnsi="Consolas"/>
                <w:color w:val="1A1D21"/>
                <w:sz w:val="17"/>
                <w:szCs w:val="17"/>
                <w:shd w:fill="F2F1ED" w:color="auto" w:val="clear"/>
              </w:rPr>
              <w:t xml:space="preserve">same</w:t>
            </w:r>
            <w:r>
              <w:rPr>
                <w:sz w:val="20"/>
                <w:szCs w:val="20"/>
              </w:rPr>
              <w:t xml:space="preserve">. Reassignment without a recorded mapping is a conformance failure, not a quality issue, because it silently severs every relationship, provenance chain, event, and binding that pointed at the old identifier.</w:t>
            </w:r>
          </w:p>
        </w:tc>
      </w:tr>
    </w:tbl>
    <w:p>
      <w:pPr>
        <w:spacing w:after="120"/>
      </w:pPr>
      <w:r>
        <w:rPr>
          <w:sz w:val="2"/>
          <w:szCs w:val="2"/>
        </w:rPr>
        <w:t xml:space="preserve"/>
      </w:r>
    </w:p>
    <w:p>
      <w:pPr>
        <w:pStyle w:val="BodyCopy"/>
      </w:pPr>
      <w:r>
        <w:rPr>
          <w:rFonts w:ascii="Consolas" w:cs="Consolas" w:eastAsia="Consolas" w:hAnsi="Consolas"/>
          <w:color w:val="1A1D21"/>
          <w:sz w:val="18"/>
          <w:szCs w:val="18"/>
          <w:shd w:fill="F2F1ED" w:color="auto" w:val="clear"/>
        </w:rPr>
        <w:t xml:space="preserve">IdentityMapping</w:t>
      </w:r>
      <w:r>
        <w:t xml:space="preserve"> also carries </w:t>
      </w:r>
      <w:r>
        <w:rPr>
          <w:rFonts w:ascii="Consolas" w:cs="Consolas" w:eastAsia="Consolas" w:hAnsi="Consolas"/>
          <w:color w:val="1A1D21"/>
          <w:sz w:val="18"/>
          <w:szCs w:val="18"/>
          <w:shd w:fill="F2F1ED" w:color="auto" w:val="clear"/>
        </w:rPr>
        <w:t xml:space="preserve">narrower</w:t>
      </w:r>
      <w:r>
        <w:t xml:space="preserve">, </w:t>
      </w:r>
      <w:r>
        <w:rPr>
          <w:rFonts w:ascii="Consolas" w:cs="Consolas" w:eastAsia="Consolas" w:hAnsi="Consolas"/>
          <w:color w:val="1A1D21"/>
          <w:sz w:val="18"/>
          <w:szCs w:val="18"/>
          <w:shd w:fill="F2F1ED" w:color="auto" w:val="clear"/>
        </w:rPr>
        <w:t xml:space="preserve">broader</w:t>
      </w:r>
      <w:r>
        <w:t xml:space="preserve">, and </w:t>
      </w:r>
      <w:r>
        <w:rPr>
          <w:rFonts w:ascii="Consolas" w:cs="Consolas" w:eastAsia="Consolas" w:hAnsi="Consolas"/>
          <w:color w:val="1A1D21"/>
          <w:sz w:val="18"/>
          <w:szCs w:val="18"/>
          <w:shd w:fill="F2F1ED" w:color="auto" w:val="clear"/>
        </w:rPr>
        <w:t xml:space="preserve">related</w:t>
      </w:r>
      <w:r>
        <w:t xml:space="preserve"> for cases where correspondence is real but not exact — a merge, a split, a partial match against a foreign system. These preserve the fact that a human once decided the two were connected, which is otherwise lost entirely.</w:t>
      </w:r>
    </w:p>
    <w:p>
      <w:pPr>
        <w:pStyle w:val="Heading2"/>
      </w:pPr>
      <w:r>
        <w:rPr>
          <w:color w:val="8C6D46"/>
        </w:rPr>
        <w:t xml:space="preserve">6.5</w:t>
      </w:r>
      <w:r>
        <w:t xml:space="preserve">  </w:t>
      </w:r>
      <w:r>
        <w:t xml:space="preserve">Local identifiers</w:t>
      </w:r>
    </w:p>
    <w:p>
      <w:pPr>
        <w:pStyle w:val="BodyCopy"/>
      </w:pPr>
      <w:r>
        <w:t xml:space="preserve">An entity </w:t>
      </w:r>
      <w:r>
        <w:rPr>
          <w:b/>
          <w:bCs/>
          <w:color w:val="8C6D46"/>
        </w:rPr>
        <w:t xml:space="preserve">SHOULD</w:t>
      </w:r>
      <w:r>
        <w:t xml:space="preserve"> carry a </w:t>
      </w:r>
      <w:r>
        <w:rPr>
          <w:rFonts w:ascii="Consolas" w:cs="Consolas" w:eastAsia="Consolas" w:hAnsi="Consolas"/>
          <w:color w:val="1A1D21"/>
          <w:sz w:val="18"/>
          <w:szCs w:val="18"/>
          <w:shd w:fill="F2F1ED" w:color="auto" w:val="clear"/>
        </w:rPr>
        <w:t xml:space="preserve">localId</w:t>
      </w:r>
      <w:r>
        <w:t xml:space="preserve">: the name the building actually goes by. </w:t>
      </w:r>
      <w:r>
        <w:rPr>
          <w:rFonts w:ascii="Consolas" w:cs="Consolas" w:eastAsia="Consolas" w:hAnsi="Consolas"/>
          <w:color w:val="1A1D21"/>
          <w:sz w:val="18"/>
          <w:szCs w:val="18"/>
          <w:shd w:fill="F2F1ED" w:color="auto" w:val="clear"/>
        </w:rPr>
        <w:t xml:space="preserve">AHU-1</w:t>
      </w:r>
      <w:r>
        <w:t xml:space="preserve">. </w:t>
      </w:r>
      <w:r>
        <w:rPr>
          <w:rFonts w:ascii="Consolas" w:cs="Consolas" w:eastAsia="Consolas" w:hAnsi="Consolas"/>
          <w:color w:val="1A1D21"/>
          <w:sz w:val="18"/>
          <w:szCs w:val="18"/>
          <w:shd w:fill="F2F1ED" w:color="auto" w:val="clear"/>
        </w:rPr>
        <w:t xml:space="preserve">VAV-2-01</w:t>
      </w:r>
      <w:r>
        <w:t xml:space="preserve">. A </w:t>
      </w:r>
      <w:r>
        <w:rPr>
          <w:rFonts w:ascii="Consolas" w:cs="Consolas" w:eastAsia="Consolas" w:hAnsi="Consolas"/>
          <w:color w:val="1A1D21"/>
          <w:sz w:val="18"/>
          <w:szCs w:val="18"/>
          <w:shd w:fill="F2F1ED" w:color="auto" w:val="clear"/>
        </w:rPr>
        <w:t xml:space="preserve">localId</w:t>
      </w:r>
      <w:r>
        <w:t xml:space="preserve"> </w:t>
      </w:r>
      <w:r>
        <w:rPr>
          <w:b/>
          <w:bCs/>
          <w:color w:val="8C6D46"/>
        </w:rPr>
        <w:t xml:space="preserve">MUST</w:t>
      </w:r>
      <w:r>
        <w:t xml:space="preserve"> be unique within a package and </w:t>
      </w:r>
      <w:r>
        <w:rPr>
          <w:b/>
          <w:bCs/>
          <w:color w:val="8C6D46"/>
        </w:rPr>
        <w:t xml:space="preserve">MUST NOT</w:t>
      </w:r>
      <w:r>
        <w:t xml:space="preserve"> be used as a reference target. It exists because a durable identifier is unreadable, and because in thirty years the tag on the physical unit may be the only surviving link between the model and the machine.</w:t>
      </w:r>
    </w:p>
    <w:p>
      <w:pPr>
        <w:pStyle w:val="Heading2"/>
      </w:pPr>
      <w:r>
        <w:rPr>
          <w:color w:val="8C6D46"/>
        </w:rPr>
        <w:t xml:space="preserve">6.6</w:t>
      </w:r>
      <w:r>
        <w:t xml:space="preserve">  </w:t>
      </w:r>
      <w:r>
        <w:t xml:space="preserve">Revision</w:t>
      </w:r>
    </w:p>
    <w:p>
      <w:pPr>
        <w:spacing w:after="160" w:before="0"/>
      </w:pPr>
      <w:r>
        <w:rPr>
          <w:rFonts w:ascii="Calibri" w:cs="Calibri" w:eastAsia="Calibri" w:hAnsi="Calibri"/>
          <w:b/>
          <w:bCs/>
          <w:color w:val="8C6D46"/>
          <w:spacing w:val="40"/>
          <w:sz w:val="14"/>
          <w:szCs w:val="14"/>
        </w:rPr>
        <w:t xml:space="preserve">PROVISIONAL</w:t>
      </w:r>
      <w:r>
        <w:t xml:space="preserve">   </w:t>
      </w:r>
      <w:r>
        <w:rPr>
          <w:i/>
          <w:iCs/>
          <w:color w:val="70757C"/>
          <w:sz w:val="17"/>
          <w:szCs w:val="17"/>
        </w:rPr>
        <w:t xml:space="preserve">New in v0.2. The semantics of revision under concurrent editing are not yet specified.</w:t>
      </w:r>
    </w:p>
    <w:p>
      <w:pPr>
        <w:pStyle w:val="BodyCopy"/>
      </w:pPr>
      <w:r>
        <w:t xml:space="preserve">An entity </w:t>
      </w:r>
      <w:r>
        <w:rPr>
          <w:b/>
          <w:bCs/>
          <w:color w:val="8C6D46"/>
        </w:rPr>
        <w:t xml:space="preserve">SHOULD</w:t>
      </w:r>
      <w:r>
        <w:t xml:space="preserve"> carry a </w:t>
      </w:r>
      <w:r>
        <w:rPr>
          <w:rFonts w:ascii="Consolas" w:cs="Consolas" w:eastAsia="Consolas" w:hAnsi="Consolas"/>
          <w:color w:val="1A1D21"/>
          <w:sz w:val="18"/>
          <w:szCs w:val="18"/>
          <w:shd w:fill="F2F1ED" w:color="auto" w:val="clear"/>
        </w:rPr>
        <w:t xml:space="preserve">versioning</w:t>
      </w:r>
      <w:r>
        <w:t xml:space="preserve"> block with a </w:t>
      </w:r>
      <w:r>
        <w:rPr>
          <w:rFonts w:ascii="Consolas" w:cs="Consolas" w:eastAsia="Consolas" w:hAnsi="Consolas"/>
          <w:color w:val="1A1D21"/>
          <w:sz w:val="18"/>
          <w:szCs w:val="18"/>
          <w:shd w:fill="F2F1ED" w:color="auto" w:val="clear"/>
        </w:rPr>
        <w:t xml:space="preserve">revision</w:t>
      </w:r>
      <w:r>
        <w:t xml:space="preserve"> that increases monotonically with each change to that entity. Revision supports synchronization and merge, which history alone does not: a receiving system can determine whether the copy it holds is behind the one it has been sent without comparing every field.</w:t>
      </w:r>
    </w:p>
    <w:p>
      <w:pPr>
        <w:pStyle w:val="BodyCopy"/>
      </w:pPr>
      <w:r>
        <w:t xml:space="preserve">An importer </w:t>
      </w:r>
      <w:r>
        <w:rPr>
          <w:b/>
          <w:bCs/>
          <w:color w:val="8C6D46"/>
        </w:rPr>
        <w:t xml:space="preserve">MUST</w:t>
      </w:r>
      <w:r>
        <w:t xml:space="preserve"> preserve or advance a revision. It </w:t>
      </w:r>
      <w:r>
        <w:rPr>
          <w:b/>
          <w:bCs/>
          <w:color w:val="8C6D46"/>
        </w:rPr>
        <w:t xml:space="preserve">MUST NOT</w:t>
      </w:r>
      <w:r>
        <w:t xml:space="preserve"> reset one. An entity re-exported at revision 1 having arrived at revision 4 is a conformance failure (test RT-24), because it asserts that three changes never happened.</w:t>
      </w:r>
    </w:p>
    <w:tbl>
      <w:tblPr>
        <w:tblW w:type="dxa" w:w="9072"/>
        <w:tblBorders>
          <w:top w:val="none" w:color="FFFFFF" w:sz="0"/>
          <w:left w:val="single" w:color="D9D4C9" w:sz="12"/>
          <w:bottom w:val="none" w:color="FFFFFF" w:sz="0"/>
          <w:right w:val="none" w:color="FFFFFF" w:sz="0"/>
          <w:insideH w:val="none" w:color="FFFFFF" w:sz="0"/>
          <w:insideV w:val="none" w:color="FFFFFF" w:sz="0"/>
        </w:tblBorders>
        <w:tblLayout w:type="fixed"/>
      </w:tblPr>
      <w:tblGrid>
        <w:gridCol w:w="9072"/>
      </w:tblGrid>
      <w:tr>
        <w:trPr>
          <w:cantSplit w:val="false"/>
        </w:trPr>
        <w:tc>
          <w:tcPr>
            <w:tcW w:type="dxa" w:w="9072"/>
            <w:shd w:fill="F2F1ED" w:color="auto" w:val="clear"/>
            <w:tcMar>
              <w:top w:type="dxa" w:w="160"/>
              <w:left w:type="dxa" w:w="220"/>
              <w:bottom w:type="dxa" w:w="160"/>
              <w:right w:type="dxa" w:w="200"/>
            </w:tcMar>
          </w:tcPr>
          <w:p>
            <w:pPr>
              <w:spacing w:after="20" w:line="240"/>
            </w:pPr>
            <w:r>
              <w:rPr>
                <w:rFonts w:ascii="Consolas" w:cs="Consolas" w:eastAsia="Consolas" w:hAnsi="Consolas"/>
                <w:color w:val="1A1D21"/>
                <w:sz w:val="16"/>
                <w:szCs w:val="16"/>
              </w:rPr>
              <w:t xml:space="preserve">"versioning": {</w:t>
            </w:r>
          </w:p>
          <w:p>
            <w:pPr>
              <w:spacing w:after="20" w:line="240"/>
            </w:pPr>
            <w:r>
              <w:rPr>
                <w:rFonts w:ascii="Consolas" w:cs="Consolas" w:eastAsia="Consolas" w:hAnsi="Consolas"/>
                <w:color w:val="1A1D21"/>
                <w:sz w:val="16"/>
                <w:szCs w:val="16"/>
              </w:rPr>
              <w:t xml:space="preserve">  "revision": 4,</w:t>
            </w:r>
          </w:p>
          <w:p>
            <w:pPr>
              <w:spacing w:after="20" w:line="240"/>
            </w:pPr>
            <w:r>
              <w:rPr>
                <w:rFonts w:ascii="Consolas" w:cs="Consolas" w:eastAsia="Consolas" w:hAnsi="Consolas"/>
                <w:color w:val="1A1D21"/>
                <w:sz w:val="16"/>
                <w:szCs w:val="16"/>
              </w:rPr>
              <w:t xml:space="preserve">  "schemaVersion": "0.2",</w:t>
            </w:r>
          </w:p>
          <w:p>
            <w:pPr>
              <w:spacing w:after="20" w:line="240"/>
            </w:pPr>
            <w:r>
              <w:rPr>
                <w:rFonts w:ascii="Consolas" w:cs="Consolas" w:eastAsia="Consolas" w:hAnsi="Consolas"/>
                <w:color w:val="1A1D21"/>
                <w:sz w:val="16"/>
                <w:szCs w:val="16"/>
              </w:rPr>
              <w:t xml:space="preserve">  "effectiveFrom": "2009-09-14T00:00:00-05:00"</w:t>
            </w:r>
          </w:p>
          <w:p>
            <w:pPr>
              <w:spacing w:after="0" w:line="240"/>
            </w:pPr>
            <w:r>
              <w:rPr>
                <w:rFonts w:ascii="Consolas" w:cs="Consolas" w:eastAsia="Consolas" w:hAnsi="Consolas"/>
                <w:color w:val="1A1D21"/>
                <w:sz w:val="16"/>
                <w:szCs w:val="16"/>
              </w:rPr>
              <w:t xml:space="preserve">}</w:t>
            </w:r>
          </w:p>
        </w:tc>
      </w:tr>
    </w:tbl>
    <w:p>
      <w:pPr>
        <w:pStyle w:val="Heading1"/>
      </w:pPr>
      <w:r>
        <w:rPr>
          <w:rFonts w:ascii="Georgia" w:cs="Georgia" w:eastAsia="Georgia" w:hAnsi="Georgia"/>
          <w:color w:val="8C6D46"/>
        </w:rPr>
        <w:t xml:space="preserve">7</w:t>
      </w:r>
      <w:r>
        <w:t xml:space="preserve">  </w:t>
      </w:r>
      <w:r>
        <w:t xml:space="preserve">Datatypes, properties, and semantics</w:t>
      </w:r>
    </w:p>
    <w:p>
      <w:pPr>
        <w:spacing w:after="160" w:before="0"/>
      </w:pPr>
      <w:r>
        <w:rPr>
          <w:rFonts w:ascii="Calibri" w:cs="Calibri" w:eastAsia="Calibri" w:hAnsi="Calibri"/>
          <w:b/>
          <w:bCs/>
          <w:color w:val="8C6D46"/>
          <w:spacing w:val="40"/>
          <w:sz w:val="14"/>
          <w:szCs w:val="14"/>
        </w:rPr>
        <w:t xml:space="preserve">AGREED</w:t>
      </w:r>
      <w:r>
        <w:t xml:space="preserve">   </w:t>
      </w:r>
      <w:r>
        <w:rPr>
          <w:i/>
          <w:iCs/>
          <w:color w:val="70757C"/>
          <w:sz w:val="17"/>
          <w:szCs w:val="17"/>
        </w:rPr>
        <w:t xml:space="preserve">Property definitions (7.8) are new in v0.2 and are the change most likely to be felt by implementers.</w:t>
      </w:r>
    </w:p>
    <w:p>
      <w:pPr>
        <w:pStyle w:val="Heading2"/>
      </w:pPr>
      <w:r>
        <w:rPr>
          <w:color w:val="8C6D46"/>
        </w:rPr>
        <w:t xml:space="preserve">7.1</w:t>
      </w:r>
      <w:r>
        <w:t xml:space="preserve">  </w:t>
      </w:r>
      <w:r>
        <w:t xml:space="preserve">Primitive types</w:t>
      </w:r>
    </w:p>
    <w:p>
      <w:pPr>
        <w:pStyle w:val="BodyCopy"/>
      </w:pPr>
      <w:r>
        <w:t xml:space="preserve">Five primitives: string, number, boolean, timestamp, and null. A binding </w:t>
      </w:r>
      <w:r>
        <w:rPr>
          <w:b/>
          <w:bCs/>
          <w:color w:val="8C6D46"/>
        </w:rPr>
        <w:t xml:space="preserve">MUST</w:t>
      </w:r>
      <w:r>
        <w:t xml:space="preserve"> specify its numeric range and precision limits and </w:t>
      </w:r>
      <w:r>
        <w:rPr>
          <w:b/>
          <w:bCs/>
          <w:color w:val="8C6D46"/>
        </w:rPr>
        <w:t xml:space="preserve">MUST NOT</w:t>
      </w:r>
      <w:r>
        <w:t xml:space="preserve"> silently narrow a value.</w:t>
      </w:r>
    </w:p>
    <w:p>
      <w:pPr>
        <w:pStyle w:val="Heading2"/>
      </w:pPr>
      <w:r>
        <w:rPr>
          <w:color w:val="8C6D46"/>
        </w:rPr>
        <w:t xml:space="preserve">7.2</w:t>
      </w:r>
      <w:r>
        <w:t xml:space="preserve">  </w:t>
      </w:r>
      <w:r>
        <w:t xml:space="preserve">Text and language</w:t>
      </w:r>
    </w:p>
    <w:p>
      <w:pPr>
        <w:pStyle w:val="BodyCopy"/>
      </w:pPr>
      <w:r>
        <w:t xml:space="preserve">Any property typed </w:t>
      </w:r>
      <w:r>
        <w:rPr>
          <w:rFonts w:ascii="Consolas" w:cs="Consolas" w:eastAsia="Consolas" w:hAnsi="Consolas"/>
          <w:color w:val="1A1D21"/>
          <w:sz w:val="18"/>
          <w:szCs w:val="18"/>
          <w:shd w:fill="F2F1ED" w:color="auto" w:val="clear"/>
        </w:rPr>
        <w:t xml:space="preserve">Text</w:t>
      </w:r>
      <w:r>
        <w:t xml:space="preserve"> accepts either a plain string or a language map keyed by [BCP47] tags. An importer supporting one language </w:t>
      </w:r>
      <w:r>
        <w:rPr>
          <w:b/>
          <w:bCs/>
          <w:color w:val="8C6D46"/>
        </w:rPr>
        <w:t xml:space="preserve">MUST</w:t>
      </w:r>
      <w:r>
        <w:t xml:space="preserve"> preserve the full map and </w:t>
      </w:r>
      <w:r>
        <w:rPr>
          <w:b/>
          <w:bCs/>
          <w:color w:val="8C6D46"/>
        </w:rPr>
        <w:t xml:space="preserve">MUST NOT</w:t>
      </w:r>
      <w:r>
        <w:t xml:space="preserve"> collapse it. Buildings outlive the tenancy that set their working language.</w:t>
      </w:r>
    </w:p>
    <w:p>
      <w:pPr>
        <w:pStyle w:val="Heading2"/>
      </w:pPr>
      <w:r>
        <w:rPr>
          <w:color w:val="8C6D46"/>
        </w:rPr>
        <w:t xml:space="preserve">7.3</w:t>
      </w:r>
      <w:r>
        <w:t xml:space="preserve">  </w:t>
      </w:r>
      <w:r>
        <w:t xml:space="preserve">Timestamps</w:t>
      </w:r>
    </w:p>
    <w:p>
      <w:pPr>
        <w:pStyle w:val="BodyCopy"/>
      </w:pPr>
      <w:r>
        <w:t xml:space="preserve">A timestamp </w:t>
      </w:r>
      <w:r>
        <w:rPr>
          <w:b/>
          <w:bCs/>
          <w:color w:val="8C6D46"/>
        </w:rPr>
        <w:t xml:space="preserve">MUST</w:t>
      </w:r>
      <w:r>
        <w:t xml:space="preserve"> be an [RFC3339] </w:t>
      </w:r>
      <w:r>
        <w:rPr>
          <w:rFonts w:ascii="Consolas" w:cs="Consolas" w:eastAsia="Consolas" w:hAnsi="Consolas"/>
          <w:color w:val="1A1D21"/>
          <w:sz w:val="18"/>
          <w:szCs w:val="18"/>
          <w:shd w:fill="F2F1ED" w:color="auto" w:val="clear"/>
        </w:rPr>
        <w:t xml:space="preserve">date-time</w:t>
      </w:r>
      <w:r>
        <w:t xml:space="preserve"> with an explicit offset. A bare local time is not permitted anywhere in this standard.</w:t>
      </w:r>
    </w:p>
    <w:p>
      <w:pPr>
        <w:pStyle w:val="BodyCopy"/>
      </w:pPr>
      <w:r>
        <w:t xml:space="preserve">An [RFC9557] IXDTF suffix </w:t>
      </w:r>
      <w:r>
        <w:rPr>
          <w:b/>
          <w:bCs/>
          <w:color w:val="8C6D46"/>
        </w:rPr>
        <w:t xml:space="preserve">MAY</w:t>
      </w:r>
      <w:r>
        <w:t xml:space="preserve"> be appended to carry the originating time zone, and </w:t>
      </w:r>
      <w:r>
        <w:rPr>
          <w:b/>
          <w:bCs/>
          <w:color w:val="8C6D46"/>
        </w:rPr>
        <w:t xml:space="preserve">SHOULD</w:t>
      </w:r>
      <w:r>
        <w:t xml:space="preserve"> be used where the civil time zone is operationally significant — schedule boundaries, occupancy transitions, event timestamps, and anything a human will later read as a wall-clock time. An importer </w:t>
      </w:r>
      <w:r>
        <w:rPr>
          <w:b/>
          <w:bCs/>
          <w:color w:val="8C6D46"/>
        </w:rPr>
        <w:t xml:space="preserve">MUST</w:t>
      </w:r>
      <w:r>
        <w:t xml:space="preserve"> accept and preserve such a suffix even if it does not interpret it.</w:t>
      </w:r>
    </w:p>
    <w:tbl>
      <w:tblPr>
        <w:tblW w:type="dxa" w:w="9072"/>
        <w:tblBorders>
          <w:top w:val="none" w:color="FFFFFF" w:sz="0"/>
          <w:left w:val="single" w:color="D9D4C9" w:sz="12"/>
          <w:bottom w:val="none" w:color="FFFFFF" w:sz="0"/>
          <w:right w:val="none" w:color="FFFFFF" w:sz="0"/>
          <w:insideH w:val="none" w:color="FFFFFF" w:sz="0"/>
          <w:insideV w:val="none" w:color="FFFFFF" w:sz="0"/>
        </w:tblBorders>
        <w:tblLayout w:type="fixed"/>
      </w:tblPr>
      <w:tblGrid>
        <w:gridCol w:w="9072"/>
      </w:tblGrid>
      <w:tr>
        <w:trPr>
          <w:cantSplit w:val="false"/>
        </w:trPr>
        <w:tc>
          <w:tcPr>
            <w:tcW w:type="dxa" w:w="9072"/>
            <w:shd w:fill="F2F1ED" w:color="auto" w:val="clear"/>
            <w:tcMar>
              <w:top w:type="dxa" w:w="160"/>
              <w:left w:type="dxa" w:w="220"/>
              <w:bottom w:type="dxa" w:w="160"/>
              <w:right w:type="dxa" w:w="200"/>
            </w:tcMar>
          </w:tcPr>
          <w:p>
            <w:pPr>
              <w:spacing w:after="20" w:line="240"/>
            </w:pPr>
            <w:r>
              <w:rPr>
                <w:rFonts w:ascii="Consolas" w:cs="Consolas" w:eastAsia="Consolas" w:hAnsi="Consolas"/>
                <w:color w:val="1A1D21"/>
                <w:sz w:val="16"/>
                <w:szCs w:val="16"/>
              </w:rPr>
              <w:t xml:space="preserve">"assertedAt": "2019-04-11T14:00:00-05:00"</w:t>
            </w:r>
          </w:p>
          <w:p>
            <w:pPr>
              <w:spacing w:after="0" w:line="240"/>
            </w:pPr>
            <w:r>
              <w:rPr>
                <w:rFonts w:ascii="Consolas" w:cs="Consolas" w:eastAsia="Consolas" w:hAnsi="Consolas"/>
                <w:color w:val="1A1D21"/>
                <w:sz w:val="16"/>
                <w:szCs w:val="16"/>
              </w:rPr>
              <w:t xml:space="preserve">"at":         "2017-05-09T11:20:00-05:00[America/Chicago]"    (preferred for civil time)</w:t>
            </w:r>
          </w:p>
        </w:tc>
      </w:tr>
    </w:tbl>
    <w:p>
      <w:pPr>
        <w:pStyle w:val="NoteCopy"/>
      </w:pPr>
      <w:r>
        <w:rPr>
          <w:b/>
          <w:bCs/>
          <w:color w:val="70757C"/>
          <w:sz w:val="18"/>
          <w:szCs w:val="18"/>
        </w:rPr>
        <w:t xml:space="preserve">NOTE </w:t>
      </w:r>
      <w:r>
        <w:rPr>
          <w:color w:val="70757C"/>
          <w:sz w:val="18"/>
          <w:szCs w:val="18"/>
        </w:rPr>
        <w:t xml:space="preserve">Offset alone is not a time zone. A package recording only offsets loses the ability to reason about a daylight-saving transition that happened after export, which is exactly the reasoning an operator needs when reading a ten-year-old event log.</w:t>
      </w:r>
    </w:p>
    <w:p>
      <w:pPr>
        <w:pStyle w:val="Heading2"/>
      </w:pPr>
      <w:r>
        <w:rPr>
          <w:color w:val="8C6D46"/>
        </w:rPr>
        <w:t xml:space="preserve">7.4</w:t>
      </w:r>
      <w:r>
        <w:t xml:space="preserve">  </w:t>
      </w:r>
      <w:r>
        <w:t xml:space="preserve">Quantities and unit codes</w:t>
      </w:r>
    </w:p>
    <w:p>
      <w:pPr>
        <w:pStyle w:val="BodyCopy"/>
      </w:pPr>
      <w:r>
        <w:t xml:space="preserve">A dimensional value </w:t>
      </w:r>
      <w:r>
        <w:rPr>
          <w:b/>
          <w:bCs/>
          <w:color w:val="8C6D46"/>
        </w:rPr>
        <w:t xml:space="preserve">MUST</w:t>
      </w:r>
      <w:r>
        <w:t xml:space="preserve"> be expressed as a </w:t>
      </w:r>
      <w:r>
        <w:rPr>
          <w:rFonts w:ascii="Consolas" w:cs="Consolas" w:eastAsia="Consolas" w:hAnsi="Consolas"/>
          <w:color w:val="1A1D21"/>
          <w:sz w:val="18"/>
          <w:szCs w:val="18"/>
          <w:shd w:fill="F2F1ED" w:color="auto" w:val="clear"/>
        </w:rPr>
        <w:t xml:space="preserve">Quantity</w:t>
      </w:r>
      <w:r>
        <w:t xml:space="preserve">: a magnitude and a </w:t>
      </w:r>
      <w:r>
        <w:rPr>
          <w:rFonts w:ascii="Consolas" w:cs="Consolas" w:eastAsia="Consolas" w:hAnsi="Consolas"/>
          <w:color w:val="1A1D21"/>
          <w:sz w:val="18"/>
          <w:szCs w:val="18"/>
          <w:shd w:fill="F2F1ED" w:color="auto" w:val="clear"/>
        </w:rPr>
        <w:t xml:space="preserve">unitCode</w:t>
      </w:r>
      <w:r>
        <w:t xml:space="preserve">.</w:t>
      </w:r>
    </w:p>
    <w:tbl>
      <w:tblPr>
        <w:tblW w:type="dxa" w:w="9072"/>
        <w:tblBorders>
          <w:top w:val="none" w:color="FFFFFF" w:sz="0"/>
          <w:left w:val="single" w:color="D9D4C9" w:sz="12"/>
          <w:bottom w:val="none" w:color="FFFFFF" w:sz="0"/>
          <w:right w:val="none" w:color="FFFFFF" w:sz="0"/>
          <w:insideH w:val="none" w:color="FFFFFF" w:sz="0"/>
          <w:insideV w:val="none" w:color="FFFFFF" w:sz="0"/>
        </w:tblBorders>
        <w:tblLayout w:type="fixed"/>
      </w:tblPr>
      <w:tblGrid>
        <w:gridCol w:w="9072"/>
      </w:tblGrid>
      <w:tr>
        <w:trPr>
          <w:cantSplit w:val="false"/>
        </w:trPr>
        <w:tc>
          <w:tcPr>
            <w:tcW w:type="dxa" w:w="9072"/>
            <w:shd w:fill="F2F1ED" w:color="auto" w:val="clear"/>
            <w:tcMar>
              <w:top w:type="dxa" w:w="160"/>
              <w:left w:type="dxa" w:w="220"/>
              <w:bottom w:type="dxa" w:w="160"/>
              <w:right w:type="dxa" w:w="200"/>
            </w:tcMar>
          </w:tcPr>
          <w:p>
            <w:pPr>
              <w:spacing w:after="20" w:line="240"/>
            </w:pPr>
            <w:r>
              <w:rPr>
                <w:rFonts w:ascii="Consolas" w:cs="Consolas" w:eastAsia="Consolas" w:hAnsi="Consolas"/>
                <w:color w:val="1A1D21"/>
                <w:sz w:val="16"/>
                <w:szCs w:val="16"/>
              </w:rPr>
              <w:t xml:space="preserve">"grossArea":   { "value": 90000, "unitCode": "ft2" }</w:t>
            </w:r>
          </w:p>
          <w:p>
            <w:pPr>
              <w:spacing w:after="20" w:line="240"/>
            </w:pPr>
            <w:r>
              <w:rPr>
                <w:rFonts w:ascii="Consolas" w:cs="Consolas" w:eastAsia="Consolas" w:hAnsi="Consolas"/>
                <w:color w:val="1A1D21"/>
                <w:sz w:val="16"/>
                <w:szCs w:val="16"/>
              </w:rPr>
              <w:t xml:space="preserve">"designFlow":  { "value": 12500, "unitCode": "cfm" }</w:t>
            </w:r>
          </w:p>
          <w:p>
            <w:pPr>
              <w:spacing w:after="20" w:line="240"/>
            </w:pPr>
            <w:r>
              <w:rPr>
                <w:rFonts w:ascii="Consolas" w:cs="Consolas" w:eastAsia="Consolas" w:hAnsi="Consolas"/>
                <w:color w:val="1A1D21"/>
                <w:sz w:val="16"/>
                <w:szCs w:val="16"/>
              </w:rPr>
              <w:t xml:space="preserve">"lowLimit":    { "value": 50.0,  "unitCode": "degF" }</w:t>
            </w:r>
          </w:p>
          <w:p>
            <w:pPr>
              <w:spacing w:after="0" w:line="240"/>
            </w:pPr>
            <w:r>
              <w:rPr>
                <w:rFonts w:ascii="Consolas" w:cs="Consolas" w:eastAsia="Consolas" w:hAnsi="Consolas"/>
                <w:color w:val="1A1D21"/>
                <w:sz w:val="16"/>
                <w:szCs w:val="16"/>
              </w:rPr>
              <w:t xml:space="preserve">"filterAlarm": { "value": 1.0,   "unitCode": "inH2O" }</w:t>
            </w:r>
          </w:p>
        </w:tc>
      </w:tr>
    </w:tbl>
    <w:p>
      <w:pPr>
        <w:pStyle w:val="BodyCopy"/>
      </w:pPr>
      <w:r>
        <w:t xml:space="preserve">Unit codes are drawn from the vocabulary of Annex C. The codes are the ones an engineer writes on a drawing: </w:t>
      </w:r>
      <w:r>
        <w:rPr>
          <w:rFonts w:ascii="Consolas" w:cs="Consolas" w:eastAsia="Consolas" w:hAnsi="Consolas"/>
          <w:color w:val="1A1D21"/>
          <w:sz w:val="18"/>
          <w:szCs w:val="18"/>
          <w:shd w:fill="F2F1ED" w:color="auto" w:val="clear"/>
        </w:rPr>
        <w:t xml:space="preserve">degF</w:t>
      </w:r>
      <w:r>
        <w:t xml:space="preserve">, </w:t>
      </w:r>
      <w:r>
        <w:rPr>
          <w:rFonts w:ascii="Consolas" w:cs="Consolas" w:eastAsia="Consolas" w:hAnsi="Consolas"/>
          <w:color w:val="1A1D21"/>
          <w:sz w:val="18"/>
          <w:szCs w:val="18"/>
          <w:shd w:fill="F2F1ED" w:color="auto" w:val="clear"/>
        </w:rPr>
        <w:t xml:space="preserve">cfm</w:t>
      </w:r>
      <w:r>
        <w:t xml:space="preserve">, </w:t>
      </w:r>
      <w:r>
        <w:rPr>
          <w:rFonts w:ascii="Consolas" w:cs="Consolas" w:eastAsia="Consolas" w:hAnsi="Consolas"/>
          <w:color w:val="1A1D21"/>
          <w:sz w:val="18"/>
          <w:szCs w:val="18"/>
          <w:shd w:fill="F2F1ED" w:color="auto" w:val="clear"/>
        </w:rPr>
        <w:t xml:space="preserve">gpm</w:t>
      </w:r>
      <w:r>
        <w:t xml:space="preserve">, </w:t>
      </w:r>
      <w:r>
        <w:rPr>
          <w:rFonts w:ascii="Consolas" w:cs="Consolas" w:eastAsia="Consolas" w:hAnsi="Consolas"/>
          <w:color w:val="1A1D21"/>
          <w:sz w:val="18"/>
          <w:szCs w:val="18"/>
          <w:shd w:fill="F2F1ED" w:color="auto" w:val="clear"/>
        </w:rPr>
        <w:t xml:space="preserve">inH2O</w:t>
      </w:r>
      <w:r>
        <w:t xml:space="preserve">, </w:t>
      </w:r>
      <w:r>
        <w:rPr>
          <w:rFonts w:ascii="Consolas" w:cs="Consolas" w:eastAsia="Consolas" w:hAnsi="Consolas"/>
          <w:color w:val="1A1D21"/>
          <w:sz w:val="18"/>
          <w:szCs w:val="18"/>
          <w:shd w:fill="F2F1ED" w:color="auto" w:val="clear"/>
        </w:rPr>
        <w:t xml:space="preserve">kWh</w:t>
      </w:r>
      <w:r>
        <w:t xml:space="preserve">, </w:t>
      </w:r>
      <w:r>
        <w:rPr>
          <w:rFonts w:ascii="Consolas" w:cs="Consolas" w:eastAsia="Consolas" w:hAnsi="Consolas"/>
          <w:color w:val="1A1D21"/>
          <w:sz w:val="18"/>
          <w:szCs w:val="18"/>
          <w:shd w:fill="F2F1ED" w:color="auto" w:val="clear"/>
        </w:rPr>
        <w:t xml:space="preserve">tonRef</w:t>
      </w:r>
      <w:r>
        <w:t xml:space="preserve">. An operator reading a package should not have to consult an external registry to know what a value means, and should never meet an unfamiliar rendering of their own working units.</w:t>
      </w:r>
    </w:p>
    <w:p>
      <w:pPr>
        <w:pStyle w:val="BodyCopy"/>
      </w:pPr>
      <w:r>
        <w:t xml:space="preserve">A </w:t>
      </w:r>
      <w:r>
        <w:rPr>
          <w:rFonts w:ascii="Consolas" w:cs="Consolas" w:eastAsia="Consolas" w:hAnsi="Consolas"/>
          <w:color w:val="1A1D21"/>
          <w:sz w:val="18"/>
          <w:szCs w:val="18"/>
          <w:shd w:fill="F2F1ED" w:color="auto" w:val="clear"/>
        </w:rPr>
        <w:t xml:space="preserve">unitSystem</w:t>
      </w:r>
      <w:r>
        <w:t xml:space="preserve"> field </w:t>
      </w:r>
      <w:r>
        <w:rPr>
          <w:b/>
          <w:bCs/>
          <w:color w:val="8C6D46"/>
        </w:rPr>
        <w:t xml:space="preserve">MAY</w:t>
      </w:r>
      <w:r>
        <w:t xml:space="preserve"> name a different vocabulary — </w:t>
      </w:r>
      <w:r>
        <w:rPr>
          <w:rFonts w:ascii="Consolas" w:cs="Consolas" w:eastAsia="Consolas" w:hAnsi="Consolas"/>
          <w:color w:val="1A1D21"/>
          <w:sz w:val="18"/>
          <w:szCs w:val="18"/>
          <w:shd w:fill="F2F1ED" w:color="auto" w:val="clear"/>
        </w:rPr>
        <w:t xml:space="preserve">ucum</w:t>
      </w:r>
      <w:r>
        <w:t xml:space="preserve">, </w:t>
      </w:r>
      <w:r>
        <w:rPr>
          <w:rFonts w:ascii="Consolas" w:cs="Consolas" w:eastAsia="Consolas" w:hAnsi="Consolas"/>
          <w:color w:val="1A1D21"/>
          <w:sz w:val="18"/>
          <w:szCs w:val="18"/>
          <w:shd w:fill="F2F1ED" w:color="auto" w:val="clear"/>
        </w:rPr>
        <w:t xml:space="preserve">haystack</w:t>
      </w:r>
      <w:r>
        <w:t xml:space="preserve">, </w:t>
      </w:r>
      <w:r>
        <w:rPr>
          <w:rFonts w:ascii="Consolas" w:cs="Consolas" w:eastAsia="Consolas" w:hAnsi="Consolas"/>
          <w:color w:val="1A1D21"/>
          <w:sz w:val="18"/>
          <w:szCs w:val="18"/>
          <w:shd w:fill="F2F1ED" w:color="auto" w:val="clear"/>
        </w:rPr>
        <w:t xml:space="preserve">bacnet</w:t>
      </w:r>
      <w:r>
        <w:t xml:space="preserve">, or </w:t>
      </w:r>
      <w:r>
        <w:rPr>
          <w:rFonts w:ascii="Consolas" w:cs="Consolas" w:eastAsia="Consolas" w:hAnsi="Consolas"/>
          <w:color w:val="1A1D21"/>
          <w:sz w:val="18"/>
          <w:szCs w:val="18"/>
          <w:shd w:fill="F2F1ED" w:color="auto" w:val="clear"/>
        </w:rPr>
        <w:t xml:space="preserve">qudt</w:t>
      </w:r>
      <w:r>
        <w:t xml:space="preserve"> — for a unit Annex C does not cover. Absent the field, the vocabulary is </w:t>
      </w:r>
      <w:r>
        <w:rPr>
          <w:rFonts w:ascii="Consolas" w:cs="Consolas" w:eastAsia="Consolas" w:hAnsi="Consolas"/>
          <w:color w:val="1A1D21"/>
          <w:sz w:val="18"/>
          <w:szCs w:val="18"/>
          <w:shd w:fill="F2F1ED" w:color="auto" w:val="clear"/>
        </w:rPr>
        <w:t xml:space="preserve">bus</w:t>
      </w:r>
      <w:r>
        <w:t xml:space="preserve">. This is the same pattern the standard uses for classifications: define the small thing that is needed, and name the external vocabulary where one is used rather than forcing everything through it.</w:t>
      </w:r>
    </w:p>
    <w:tbl>
      <w:tblPr>
        <w:tblW w:type="dxa" w:w="9072"/>
        <w:tblBorders>
          <w:top w:val="none" w:color="FFFFFF" w:sz="0"/>
          <w:left w:val="single" w:color="8C6D46" w:sz="24"/>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F5F3EE" w:color="auto" w:val="clear"/>
            <w:tcMar>
              <w:top w:type="dxa" w:w="200"/>
              <w:left w:type="dxa" w:w="260"/>
              <w:bottom w:type="dxa" w:w="200"/>
              <w:right w:type="dxa" w:w="260"/>
            </w:tcMar>
          </w:tcPr>
          <w:p>
            <w:pPr>
              <w:spacing w:after="80"/>
            </w:pPr>
            <w:r>
              <w:rPr>
                <w:rFonts w:ascii="Georgia" w:cs="Georgia" w:eastAsia="Georgia" w:hAnsi="Georgia"/>
                <w:b/>
                <w:bCs/>
                <w:color w:val="1A1D21"/>
                <w:sz w:val="22"/>
                <w:szCs w:val="22"/>
              </w:rPr>
              <w:t xml:space="preserve">Requirement 7.4-1</w:t>
            </w:r>
          </w:p>
          <w:p>
            <w:pPr>
              <w:spacing w:after="0" w:line="280"/>
            </w:pPr>
            <w:r>
              <w:rPr>
                <w:sz w:val="20"/>
                <w:szCs w:val="20"/>
              </w:rPr>
              <w:t xml:space="preserve">An importer </w:t>
            </w:r>
            <w:r>
              <w:rPr>
                <w:b/>
                <w:bCs/>
                <w:color w:val="8C6D46"/>
                <w:sz w:val="20"/>
                <w:szCs w:val="20"/>
              </w:rPr>
              <w:t xml:space="preserve">MUST NOT</w:t>
            </w:r>
            <w:r>
              <w:rPr>
                <w:sz w:val="20"/>
                <w:szCs w:val="20"/>
              </w:rPr>
              <w:t xml:space="preserve"> convert a quantity to a different unit as a condition of storing it. Where an implementation converts for internal use, it </w:t>
            </w:r>
            <w:r>
              <w:rPr>
                <w:b/>
                <w:bCs/>
                <w:color w:val="8C6D46"/>
                <w:sz w:val="20"/>
                <w:szCs w:val="20"/>
              </w:rPr>
              <w:t xml:space="preserve">MUST</w:t>
            </w:r>
            <w:r>
              <w:rPr>
                <w:sz w:val="20"/>
                <w:szCs w:val="20"/>
              </w:rPr>
              <w:t xml:space="preserve"> retain the original magnitude and unit code and re-export them unchanged. Round-tripped conversion is a silent, compounding form of loss, and it destroys the ability to tell a measured value from a computed one.</w:t>
            </w:r>
          </w:p>
        </w:tc>
      </w:tr>
    </w:tbl>
    <w:p>
      <w:pPr>
        <w:spacing w:after="120"/>
      </w:pPr>
      <w:r>
        <w:rPr>
          <w:sz w:val="2"/>
          <w:szCs w:val="2"/>
        </w:rPr>
        <w:t xml:space="preserve"/>
      </w:r>
    </w:p>
    <w:p>
      <w:pPr>
        <w:pStyle w:val="NoteCopy"/>
      </w:pPr>
      <w:r>
        <w:rPr>
          <w:b/>
          <w:bCs/>
          <w:color w:val="70757C"/>
          <w:sz w:val="18"/>
          <w:szCs w:val="18"/>
        </w:rPr>
        <w:t xml:space="preserve">NOTE </w:t>
      </w:r>
      <w:r>
        <w:rPr>
          <w:color w:val="70757C"/>
          <w:sz w:val="18"/>
          <w:szCs w:val="18"/>
        </w:rPr>
        <w:t xml:space="preserve">Temperature differences use the delta forms. A two degree rise is </w:t>
      </w:r>
      <w:r>
        <w:rPr>
          <w:rFonts w:ascii="Consolas" w:cs="Consolas" w:eastAsia="Consolas" w:hAnsi="Consolas"/>
          <w:color w:val="1A1D21"/>
          <w:sz w:val="15"/>
          <w:szCs w:val="15"/>
          <w:shd w:fill="F2F1ED" w:color="auto" w:val="clear"/>
        </w:rPr>
        <w:t xml:space="preserve">deltaDegF</w:t>
      </w:r>
      <w:r>
        <w:rPr>
          <w:color w:val="70757C"/>
          <w:sz w:val="18"/>
          <w:szCs w:val="18"/>
        </w:rPr>
        <w:t xml:space="preserve">, not </w:t>
      </w:r>
      <w:r>
        <w:rPr>
          <w:rFonts w:ascii="Consolas" w:cs="Consolas" w:eastAsia="Consolas" w:hAnsi="Consolas"/>
          <w:color w:val="1A1D21"/>
          <w:sz w:val="15"/>
          <w:szCs w:val="15"/>
          <w:shd w:fill="F2F1ED" w:color="auto" w:val="clear"/>
        </w:rPr>
        <w:t xml:space="preserve">degF</w:t>
      </w:r>
      <w:r>
        <w:rPr>
          <w:color w:val="70757C"/>
          <w:sz w:val="18"/>
          <w:szCs w:val="18"/>
        </w:rPr>
        <w:t xml:space="preserve">. Conflating the two is the most common unit error in building data and the model makes it expressible rather than relying on context.</w:t>
      </w:r>
    </w:p>
    <w:p>
      <w:pPr>
        <w:pStyle w:val="Heading2"/>
      </w:pPr>
      <w:r>
        <w:rPr>
          <w:color w:val="8C6D46"/>
        </w:rPr>
        <w:t xml:space="preserve">7.5</w:t>
      </w:r>
      <w:r>
        <w:t xml:space="preserve">  </w:t>
      </w:r>
      <w:r>
        <w:t xml:space="preserve">Enumerations</w:t>
      </w:r>
    </w:p>
    <w:p>
      <w:pPr>
        <w:pStyle w:val="BodyCopy"/>
      </w:pPr>
      <w:r>
        <w:t xml:space="preserve">Where a point or property carries a discrete state, the enumeration </w:t>
      </w:r>
      <w:r>
        <w:rPr>
          <w:b/>
          <w:bCs/>
          <w:color w:val="8C6D46"/>
        </w:rPr>
        <w:t xml:space="preserve">MUST</w:t>
      </w:r>
      <w:r>
        <w:t xml:space="preserve"> be declared rather than assumed from a protocol. Each member has a </w:t>
      </w:r>
      <w:r>
        <w:rPr>
          <w:rFonts w:ascii="Consolas" w:cs="Consolas" w:eastAsia="Consolas" w:hAnsi="Consolas"/>
          <w:color w:val="1A1D21"/>
          <w:sz w:val="18"/>
          <w:szCs w:val="18"/>
          <w:shd w:fill="F2F1ED" w:color="auto" w:val="clear"/>
        </w:rPr>
        <w:t xml:space="preserve">code</w:t>
      </w:r>
      <w:r>
        <w:t xml:space="preserve">, an </w:t>
      </w:r>
      <w:r>
        <w:rPr>
          <w:b/>
          <w:bCs/>
          <w:color w:val="8C6D46"/>
        </w:rPr>
        <w:t xml:space="preserve">OPTIONAL</w:t>
      </w:r>
      <w:r>
        <w:t xml:space="preserve"> </w:t>
      </w:r>
      <w:r>
        <w:rPr>
          <w:rFonts w:ascii="Consolas" w:cs="Consolas" w:eastAsia="Consolas" w:hAnsi="Consolas"/>
          <w:color w:val="1A1D21"/>
          <w:sz w:val="18"/>
          <w:szCs w:val="18"/>
          <w:shd w:fill="F2F1ED" w:color="auto" w:val="clear"/>
        </w:rPr>
        <w:t xml:space="preserve">label</w:t>
      </w:r>
      <w:r>
        <w:t xml:space="preserve">, and an </w:t>
      </w:r>
      <w:r>
        <w:rPr>
          <w:b/>
          <w:bCs/>
          <w:color w:val="8C6D46"/>
        </w:rPr>
        <w:t xml:space="preserve">OPTIONAL</w:t>
      </w:r>
      <w:r>
        <w:t xml:space="preserve"> </w:t>
      </w:r>
      <w:r>
        <w:rPr>
          <w:rFonts w:ascii="Consolas" w:cs="Consolas" w:eastAsia="Consolas" w:hAnsi="Consolas"/>
          <w:color w:val="1A1D21"/>
          <w:sz w:val="18"/>
          <w:szCs w:val="18"/>
          <w:shd w:fill="F2F1ED" w:color="auto" w:val="clear"/>
        </w:rPr>
        <w:t xml:space="preserve">isAlarm</w:t>
      </w:r>
      <w:r>
        <w:t xml:space="preserve"> flag.</w:t>
      </w:r>
    </w:p>
    <w:p>
      <w:pPr>
        <w:pStyle w:val="BodyCopy"/>
      </w:pPr>
      <w:r>
        <w:t xml:space="preserve">Enumerations defined by this standard are open. An importer encountering an unrecognized member </w:t>
      </w:r>
      <w:r>
        <w:rPr>
          <w:b/>
          <w:bCs/>
          <w:color w:val="8C6D46"/>
        </w:rPr>
        <w:t xml:space="preserve">MUST</w:t>
      </w:r>
      <w:r>
        <w:t xml:space="preserve"> preserve the value and </w:t>
      </w:r>
      <w:r>
        <w:rPr>
          <w:b/>
          <w:bCs/>
          <w:color w:val="8C6D46"/>
        </w:rPr>
        <w:t xml:space="preserve">MUST NOT</w:t>
      </w:r>
      <w:r>
        <w:t xml:space="preserve"> coerce it to a default (test IM-4). This is what allows the vocabulary to grow in a MINOR version without breaking deployed importers.</w:t>
      </w:r>
    </w:p>
    <w:p>
      <w:pPr>
        <w:pStyle w:val="Heading2"/>
      </w:pPr>
      <w:r>
        <w:rPr>
          <w:color w:val="8C6D46"/>
        </w:rPr>
        <w:t xml:space="preserve">7.6</w:t>
      </w:r>
      <w:r>
        <w:t xml:space="preserve">  </w:t>
      </w:r>
      <w:r>
        <w:t xml:space="preserve">Digests</w:t>
      </w:r>
    </w:p>
    <w:p>
      <w:pPr>
        <w:pStyle w:val="BodyCopy"/>
      </w:pPr>
      <w:r>
        <w:t xml:space="preserve">A digest is written </w:t>
      </w:r>
      <w:r>
        <w:rPr>
          <w:rFonts w:ascii="Consolas" w:cs="Consolas" w:eastAsia="Consolas" w:hAnsi="Consolas"/>
          <w:color w:val="1A1D21"/>
          <w:sz w:val="18"/>
          <w:szCs w:val="18"/>
          <w:shd w:fill="F2F1ED" w:color="auto" w:val="clear"/>
        </w:rPr>
        <w:t xml:space="preserve">&lt;algorithm&gt;-&lt;base64&gt;</w:t>
      </w:r>
      <w:r>
        <w:t xml:space="preserve">. Only </w:t>
      </w:r>
      <w:r>
        <w:rPr>
          <w:rFonts w:ascii="Consolas" w:cs="Consolas" w:eastAsia="Consolas" w:hAnsi="Consolas"/>
          <w:color w:val="1A1D21"/>
          <w:sz w:val="18"/>
          <w:szCs w:val="18"/>
          <w:shd w:fill="F2F1ED" w:color="auto" w:val="clear"/>
        </w:rPr>
        <w:t xml:space="preserve">sha-256</w:t>
      </w:r>
      <w:r>
        <w:t xml:space="preserve">, </w:t>
      </w:r>
      <w:r>
        <w:rPr>
          <w:rFonts w:ascii="Consolas" w:cs="Consolas" w:eastAsia="Consolas" w:hAnsi="Consolas"/>
          <w:color w:val="1A1D21"/>
          <w:sz w:val="18"/>
          <w:szCs w:val="18"/>
          <w:shd w:fill="F2F1ED" w:color="auto" w:val="clear"/>
        </w:rPr>
        <w:t xml:space="preserve">sha-384</w:t>
      </w:r>
      <w:r>
        <w:t xml:space="preserve">, and </w:t>
      </w:r>
      <w:r>
        <w:rPr>
          <w:rFonts w:ascii="Consolas" w:cs="Consolas" w:eastAsia="Consolas" w:hAnsi="Consolas"/>
          <w:color w:val="1A1D21"/>
          <w:sz w:val="18"/>
          <w:szCs w:val="18"/>
          <w:shd w:fill="F2F1ED" w:color="auto" w:val="clear"/>
        </w:rPr>
        <w:t xml:space="preserve">sha-512</w:t>
      </w:r>
      <w:r>
        <w:t xml:space="preserve"> are defined, per [FIPS180-4], encoded per [RFC4648] section 4.</w:t>
      </w:r>
    </w:p>
    <w:p>
      <w:pPr>
        <w:pStyle w:val="Heading2"/>
      </w:pPr>
      <w:r>
        <w:rPr>
          <w:color w:val="8C6D46"/>
        </w:rPr>
        <w:t xml:space="preserve">7.7</w:t>
      </w:r>
      <w:r>
        <w:t xml:space="preserve">  </w:t>
      </w:r>
      <w:r>
        <w:t xml:space="preserve">Classifications</w:t>
      </w:r>
    </w:p>
    <w:p>
      <w:pPr>
        <w:pStyle w:val="BodyCopy"/>
      </w:pPr>
      <w:r>
        <w:t xml:space="preserve">A </w:t>
      </w:r>
      <w:r>
        <w:rPr>
          <w:rFonts w:ascii="Consolas" w:cs="Consolas" w:eastAsia="Consolas" w:hAnsi="Consolas"/>
          <w:color w:val="1A1D21"/>
          <w:sz w:val="18"/>
          <w:szCs w:val="18"/>
          <w:shd w:fill="F2F1ED" w:color="auto" w:val="clear"/>
        </w:rPr>
        <w:t xml:space="preserve">classification</w:t>
      </w:r>
      <w:r>
        <w:t xml:space="preserve"> records that an entity corresponds to a term in a taxonomy defined elsewhere: a </w:t>
      </w:r>
      <w:r>
        <w:rPr>
          <w:rFonts w:ascii="Consolas" w:cs="Consolas" w:eastAsia="Consolas" w:hAnsi="Consolas"/>
          <w:color w:val="1A1D21"/>
          <w:sz w:val="18"/>
          <w:szCs w:val="18"/>
          <w:shd w:fill="F2F1ED" w:color="auto" w:val="clear"/>
        </w:rPr>
        <w:t xml:space="preserve">system</w:t>
      </w:r>
      <w:r>
        <w:t xml:space="preserve">, an </w:t>
      </w:r>
      <w:r>
        <w:rPr>
          <w:b/>
          <w:bCs/>
          <w:color w:val="8C6D46"/>
        </w:rPr>
        <w:t xml:space="preserve">OPTIONAL</w:t>
      </w:r>
      <w:r>
        <w:t xml:space="preserve"> </w:t>
      </w:r>
      <w:r>
        <w:rPr>
          <w:rFonts w:ascii="Consolas" w:cs="Consolas" w:eastAsia="Consolas" w:hAnsi="Consolas"/>
          <w:color w:val="1A1D21"/>
          <w:sz w:val="18"/>
          <w:szCs w:val="18"/>
          <w:shd w:fill="F2F1ED" w:color="auto" w:val="clear"/>
        </w:rPr>
        <w:t xml:space="preserve">version</w:t>
      </w:r>
      <w:r>
        <w:t xml:space="preserve">, a </w:t>
      </w:r>
      <w:r>
        <w:rPr>
          <w:rFonts w:ascii="Consolas" w:cs="Consolas" w:eastAsia="Consolas" w:hAnsi="Consolas"/>
          <w:color w:val="1A1D21"/>
          <w:sz w:val="18"/>
          <w:szCs w:val="18"/>
          <w:shd w:fill="F2F1ED" w:color="auto" w:val="clear"/>
        </w:rPr>
        <w:t xml:space="preserve">code</w:t>
      </w:r>
      <w:r>
        <w:t xml:space="preserve">, and an </w:t>
      </w:r>
      <w:r>
        <w:rPr>
          <w:b/>
          <w:bCs/>
          <w:color w:val="8C6D46"/>
        </w:rPr>
        <w:t xml:space="preserve">OPTIONAL</w:t>
      </w:r>
      <w:r>
        <w:t xml:space="preserve"> </w:t>
      </w:r>
      <w:r>
        <w:rPr>
          <w:rFonts w:ascii="Consolas" w:cs="Consolas" w:eastAsia="Consolas" w:hAnsi="Consolas"/>
          <w:color w:val="1A1D21"/>
          <w:sz w:val="18"/>
          <w:szCs w:val="18"/>
          <w:shd w:fill="F2F1ED" w:color="auto" w:val="clear"/>
        </w:rPr>
        <w:t xml:space="preserve">label</w:t>
      </w:r>
      <w:r>
        <w:t xml:space="preserve">. An entity </w:t>
      </w:r>
      <w:r>
        <w:rPr>
          <w:b/>
          <w:bCs/>
          <w:color w:val="8C6D46"/>
        </w:rPr>
        <w:t xml:space="preserve">MAY</w:t>
      </w:r>
      <w:r>
        <w:t xml:space="preserve"> carry any number, including several from the same system and several a receiving implementation considers inconsistent. This standard does not adjudicate between them.</w:t>
      </w:r>
    </w:p>
    <w:tbl>
      <w:tblPr>
        <w:tblW w:type="dxa" w:w="9072"/>
        <w:tblBorders>
          <w:top w:val="none" w:color="FFFFFF" w:sz="0"/>
          <w:left w:val="single" w:color="8C6D46" w:sz="24"/>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F5F3EE" w:color="auto" w:val="clear"/>
            <w:tcMar>
              <w:top w:type="dxa" w:w="200"/>
              <w:left w:type="dxa" w:w="260"/>
              <w:bottom w:type="dxa" w:w="200"/>
              <w:right w:type="dxa" w:w="260"/>
            </w:tcMar>
          </w:tcPr>
          <w:p>
            <w:pPr>
              <w:spacing w:after="80"/>
            </w:pPr>
            <w:r>
              <w:rPr>
                <w:rFonts w:ascii="Georgia" w:cs="Georgia" w:eastAsia="Georgia" w:hAnsi="Georgia"/>
                <w:b/>
                <w:bCs/>
                <w:color w:val="1A1D21"/>
                <w:sz w:val="22"/>
                <w:szCs w:val="22"/>
              </w:rPr>
              <w:t xml:space="preserve">Requirement 7.7-1</w:t>
            </w:r>
          </w:p>
          <w:p>
            <w:pPr>
              <w:spacing w:after="0" w:line="280"/>
            </w:pPr>
            <w:r>
              <w:rPr>
                <w:sz w:val="20"/>
                <w:szCs w:val="20"/>
              </w:rPr>
              <w:t xml:space="preserve">An importer </w:t>
            </w:r>
            <w:r>
              <w:rPr>
                <w:b/>
                <w:bCs/>
                <w:color w:val="8C6D46"/>
                <w:sz w:val="20"/>
                <w:szCs w:val="20"/>
              </w:rPr>
              <w:t xml:space="preserve">MUST</w:t>
            </w:r>
            <w:r>
              <w:rPr>
                <w:sz w:val="20"/>
                <w:szCs w:val="20"/>
              </w:rPr>
              <w:t xml:space="preserve"> preserve every classification verbatim, including </w:t>
            </w:r>
            <w:r>
              <w:rPr>
                <w:rFonts w:ascii="Consolas" w:cs="Consolas" w:eastAsia="Consolas" w:hAnsi="Consolas"/>
                <w:color w:val="1A1D21"/>
                <w:sz w:val="17"/>
                <w:szCs w:val="17"/>
                <w:shd w:fill="F2F1ED" w:color="auto" w:val="clear"/>
              </w:rPr>
              <w:t xml:space="preserve">system</w:t>
            </w:r>
            <w:r>
              <w:rPr>
                <w:sz w:val="20"/>
                <w:szCs w:val="20"/>
              </w:rPr>
              <w:t xml:space="preserve"> tokens and </w:t>
            </w:r>
            <w:r>
              <w:rPr>
                <w:rFonts w:ascii="Consolas" w:cs="Consolas" w:eastAsia="Consolas" w:hAnsi="Consolas"/>
                <w:color w:val="1A1D21"/>
                <w:sz w:val="17"/>
                <w:szCs w:val="17"/>
                <w:shd w:fill="F2F1ED" w:color="auto" w:val="clear"/>
              </w:rPr>
              <w:t xml:space="preserve">version</w:t>
            </w:r>
            <w:r>
              <w:rPr>
                <w:sz w:val="20"/>
                <w:szCs w:val="20"/>
              </w:rPr>
              <w:t xml:space="preserve"> values it does not recognize, and </w:t>
            </w:r>
            <w:r>
              <w:rPr>
                <w:b/>
                <w:bCs/>
                <w:color w:val="8C6D46"/>
                <w:sz w:val="20"/>
                <w:szCs w:val="20"/>
              </w:rPr>
              <w:t xml:space="preserve">MUST NOT</w:t>
            </w:r>
            <w:r>
              <w:rPr>
                <w:sz w:val="20"/>
                <w:szCs w:val="20"/>
              </w:rPr>
              <w:t xml:space="preserve"> normalize, translate, deduplicate, or drop them.</w:t>
            </w:r>
          </w:p>
        </w:tc>
      </w:tr>
    </w:tbl>
    <w:p>
      <w:pPr>
        <w:spacing w:after="120"/>
      </w:pPr>
      <w:r>
        <w:rPr>
          <w:sz w:val="2"/>
          <w:szCs w:val="2"/>
        </w:rPr>
        <w:t xml:space="preserve"/>
      </w:r>
    </w:p>
    <w:p>
      <w:pPr>
        <w:pStyle w:val="NoteCopy"/>
      </w:pPr>
      <w:r>
        <w:rPr>
          <w:b/>
          <w:bCs/>
          <w:color w:val="70757C"/>
          <w:sz w:val="18"/>
          <w:szCs w:val="18"/>
        </w:rPr>
        <w:t xml:space="preserve">NOTE </w:t>
      </w:r>
      <w:r>
        <w:rPr>
          <w:color w:val="70757C"/>
          <w:sz w:val="18"/>
          <w:szCs w:val="18"/>
        </w:rPr>
        <w:t xml:space="preserve">The </w:t>
      </w:r>
      <w:r>
        <w:rPr>
          <w:rFonts w:ascii="Consolas" w:cs="Consolas" w:eastAsia="Consolas" w:hAnsi="Consolas"/>
          <w:color w:val="1A1D21"/>
          <w:sz w:val="15"/>
          <w:szCs w:val="15"/>
          <w:shd w:fill="F2F1ED" w:color="auto" w:val="clear"/>
        </w:rPr>
        <w:t xml:space="preserve">version</w:t>
      </w:r>
      <w:r>
        <w:rPr>
          <w:color w:val="70757C"/>
          <w:sz w:val="18"/>
          <w:szCs w:val="18"/>
        </w:rPr>
        <w:t xml:space="preserve"> field matters more than it appears to. A Brick 1.3 class URI and a Brick 1.5 class URI may be the same string with different meanings. Recording the version is what makes a mapping possible later; omitting it is what makes it guesswork.</w:t>
      </w:r>
    </w:p>
    <w:p>
      <w:pPr>
        <w:pStyle w:val="Heading2"/>
      </w:pPr>
      <w:r>
        <w:rPr>
          <w:color w:val="8C6D46"/>
        </w:rPr>
        <w:t xml:space="preserve">7.8</w:t>
      </w:r>
      <w:r>
        <w:t xml:space="preserve">  </w:t>
      </w:r>
      <w:r>
        <w:t xml:space="preserve">Property definitions</w:t>
      </w:r>
    </w:p>
    <w:p>
      <w:pPr>
        <w:spacing w:after="160" w:before="0"/>
      </w:pPr>
      <w:r>
        <w:rPr>
          <w:rFonts w:ascii="Calibri" w:cs="Calibri" w:eastAsia="Calibri" w:hAnsi="Calibri"/>
          <w:b/>
          <w:bCs/>
          <w:color w:val="8C6D46"/>
          <w:spacing w:val="40"/>
          <w:sz w:val="14"/>
          <w:szCs w:val="14"/>
        </w:rPr>
        <w:t xml:space="preserve">AGREED</w:t>
      </w:r>
      <w:r>
        <w:t xml:space="preserve">   </w:t>
      </w:r>
      <w:r>
        <w:rPr>
          <w:i/>
          <w:iCs/>
          <w:color w:val="70757C"/>
          <w:sz w:val="17"/>
          <w:szCs w:val="17"/>
        </w:rPr>
        <w:t xml:space="preserve">New in v0.2. Replaces the free-form property map of v0.1.</w:t>
      </w:r>
    </w:p>
    <w:p>
      <w:pPr>
        <w:pStyle w:val="BodyCopy"/>
      </w:pPr>
      <w:r>
        <w:t xml:space="preserve">Every intrinsic fact about an entity that is not modeled by a named field is carried as a property value, and every property value references a </w:t>
      </w:r>
      <w:r>
        <w:rPr>
          <w:rFonts w:ascii="Consolas" w:cs="Consolas" w:eastAsia="Consolas" w:hAnsi="Consolas"/>
          <w:color w:val="1A1D21"/>
          <w:sz w:val="18"/>
          <w:szCs w:val="18"/>
          <w:shd w:fill="F2F1ED" w:color="auto" w:val="clear"/>
        </w:rPr>
        <w:t xml:space="preserve">bus:PropertyDefinition</w:t>
      </w:r>
      <w:r>
        <w:t xml:space="preserve">.</w:t>
      </w:r>
    </w:p>
    <w:tbl>
      <w:tblPr>
        <w:tblW w:type="dxa" w:w="9072"/>
        <w:tblBorders>
          <w:top w:val="none" w:color="FFFFFF" w:sz="0"/>
          <w:left w:val="single" w:color="8C6D46" w:sz="24"/>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F5F3EE" w:color="auto" w:val="clear"/>
            <w:tcMar>
              <w:top w:type="dxa" w:w="200"/>
              <w:left w:type="dxa" w:w="260"/>
              <w:bottom w:type="dxa" w:w="200"/>
              <w:right w:type="dxa" w:w="260"/>
            </w:tcMar>
          </w:tcPr>
          <w:p>
            <w:pPr>
              <w:spacing w:after="80"/>
            </w:pPr>
            <w:r>
              <w:rPr>
                <w:rFonts w:ascii="Georgia" w:cs="Georgia" w:eastAsia="Georgia" w:hAnsi="Georgia"/>
                <w:b/>
                <w:bCs/>
                <w:color w:val="1A1D21"/>
                <w:sz w:val="22"/>
                <w:szCs w:val="22"/>
              </w:rPr>
              <w:t xml:space="preserve">Requirement 7.8-1</w:t>
            </w:r>
          </w:p>
          <w:p>
            <w:pPr>
              <w:spacing w:after="0" w:line="280"/>
            </w:pPr>
            <w:r>
              <w:rPr>
                <w:sz w:val="20"/>
                <w:szCs w:val="20"/>
              </w:rPr>
              <w:t xml:space="preserve">An exporter </w:t>
            </w:r>
            <w:r>
              <w:rPr>
                <w:b/>
                <w:bCs/>
                <w:color w:val="8C6D46"/>
                <w:sz w:val="20"/>
                <w:szCs w:val="20"/>
              </w:rPr>
              <w:t xml:space="preserve">MUST</w:t>
            </w:r>
            <w:r>
              <w:rPr>
                <w:sz w:val="20"/>
                <w:szCs w:val="20"/>
              </w:rPr>
              <w:t xml:space="preserve"> include, in the package, a </w:t>
            </w:r>
            <w:r>
              <w:rPr>
                <w:rFonts w:ascii="Consolas" w:cs="Consolas" w:eastAsia="Consolas" w:hAnsi="Consolas"/>
                <w:color w:val="1A1D21"/>
                <w:sz w:val="17"/>
                <w:szCs w:val="17"/>
                <w:shd w:fill="F2F1ED" w:color="auto" w:val="clear"/>
              </w:rPr>
              <w:t xml:space="preserve">bus:PropertyDefinition</w:t>
            </w:r>
            <w:r>
              <w:rPr>
                <w:sz w:val="20"/>
                <w:szCs w:val="20"/>
              </w:rPr>
              <w:t xml:space="preserve"> for every property it emits, declaring the property name, its datatype, its unit where dimensional, and its meaning in prose. Bare key-value property data </w:t>
            </w:r>
            <w:r>
              <w:rPr>
                <w:b/>
                <w:bCs/>
                <w:color w:val="8C6D46"/>
                <w:sz w:val="20"/>
                <w:szCs w:val="20"/>
              </w:rPr>
              <w:t xml:space="preserve">MUST NOT</w:t>
            </w:r>
            <w:r>
              <w:rPr>
                <w:sz w:val="20"/>
                <w:szCs w:val="20"/>
              </w:rPr>
              <w:t xml:space="preserve"> appear anywhere in a conforming package. An importer </w:t>
            </w:r>
            <w:r>
              <w:rPr>
                <w:b/>
                <w:bCs/>
                <w:color w:val="8C6D46"/>
                <w:sz w:val="20"/>
                <w:szCs w:val="20"/>
              </w:rPr>
              <w:t xml:space="preserve">MUST</w:t>
            </w:r>
            <w:r>
              <w:rPr>
                <w:sz w:val="20"/>
                <w:szCs w:val="20"/>
              </w:rPr>
              <w:t xml:space="preserve"> reject a package containing a property value whose definition is absent.</w:t>
            </w:r>
          </w:p>
        </w:tc>
      </w:tr>
    </w:tbl>
    <w:p>
      <w:pPr>
        <w:spacing w:after="120"/>
      </w:pPr>
      <w:r>
        <w:rPr>
          <w:sz w:val="2"/>
          <w:szCs w:val="2"/>
        </w:rPr>
        <w:t xml:space="preserve"/>
      </w:r>
    </w:p>
    <w:tbl>
      <w:tblPr>
        <w:tblW w:type="dxa" w:w="9072"/>
        <w:tblBorders>
          <w:top w:val="none" w:color="FFFFFF" w:sz="0"/>
          <w:left w:val="single" w:color="D9D4C9" w:sz="12"/>
          <w:bottom w:val="none" w:color="FFFFFF" w:sz="0"/>
          <w:right w:val="none" w:color="FFFFFF" w:sz="0"/>
          <w:insideH w:val="none" w:color="FFFFFF" w:sz="0"/>
          <w:insideV w:val="none" w:color="FFFFFF" w:sz="0"/>
        </w:tblBorders>
        <w:tblLayout w:type="fixed"/>
      </w:tblPr>
      <w:tblGrid>
        <w:gridCol w:w="9072"/>
      </w:tblGrid>
      <w:tr>
        <w:trPr>
          <w:cantSplit w:val="false"/>
        </w:trPr>
        <w:tc>
          <w:tcPr>
            <w:tcW w:type="dxa" w:w="9072"/>
            <w:shd w:fill="F2F1ED" w:color="auto" w:val="clear"/>
            <w:tcMar>
              <w:top w:type="dxa" w:w="160"/>
              <w:left w:type="dxa" w:w="220"/>
              <w:bottom w:type="dxa" w:w="160"/>
              <w:right w:type="dxa" w:w="200"/>
            </w:tcMar>
          </w:tcPr>
          <w:p>
            <w:pPr>
              <w:spacing w:after="20" w:line="240"/>
            </w:pPr>
            <w:r>
              <w:rPr>
                <w:rFonts w:ascii="Consolas" w:cs="Consolas" w:eastAsia="Consolas" w:hAnsi="Consolas"/>
                <w:color w:val="1A1D21"/>
                <w:sz w:val="16"/>
                <w:szCs w:val="16"/>
              </w:rPr>
              <w:t xml:space="preserve">{ "type": "bus:PropertyDefinition",</w:t>
            </w:r>
          </w:p>
          <w:p>
            <w:pPr>
              <w:spacing w:after="20" w:line="240"/>
            </w:pPr>
            <w:r>
              <w:rPr>
                <w:rFonts w:ascii="Consolas" w:cs="Consolas" w:eastAsia="Consolas" w:hAnsi="Consolas"/>
                <w:color w:val="1A1D21"/>
                <w:sz w:val="16"/>
                <w:szCs w:val="16"/>
              </w:rPr>
              <w:t xml:space="preserve">  "propertyName": "filterClass",</w:t>
            </w:r>
          </w:p>
          <w:p>
            <w:pPr>
              <w:spacing w:after="20" w:line="240"/>
            </w:pPr>
            <w:r>
              <w:rPr>
                <w:rFonts w:ascii="Consolas" w:cs="Consolas" w:eastAsia="Consolas" w:hAnsi="Consolas"/>
                <w:color w:val="1A1D21"/>
                <w:sz w:val="16"/>
                <w:szCs w:val="16"/>
              </w:rPr>
              <w:t xml:space="preserve">  "datatype": "string",</w:t>
            </w:r>
          </w:p>
          <w:p>
            <w:pPr>
              <w:spacing w:after="20" w:line="240"/>
            </w:pPr>
            <w:r>
              <w:rPr>
                <w:rFonts w:ascii="Consolas" w:cs="Consolas" w:eastAsia="Consolas" w:hAnsi="Consolas"/>
                <w:color w:val="1A1D21"/>
                <w:sz w:val="16"/>
                <w:szCs w:val="16"/>
              </w:rPr>
              <w:t xml:space="preserve">  "meaning": "Particulate filtration efficiency rating of an air filter, stated in</w:t>
            </w:r>
          </w:p>
          <w:p>
            <w:pPr>
              <w:spacing w:after="20" w:line="240"/>
            </w:pPr>
            <w:r>
              <w:rPr>
                <w:rFonts w:ascii="Consolas" w:cs="Consolas" w:eastAsia="Consolas" w:hAnsi="Consolas"/>
                <w:color w:val="1A1D21"/>
                <w:sz w:val="16"/>
                <w:szCs w:val="16"/>
              </w:rPr>
              <w:t xml:space="preserve">              the rating scheme named by the value, for example a MERV rating</w:t>
            </w:r>
          </w:p>
          <w:p>
            <w:pPr>
              <w:spacing w:after="20" w:line="240"/>
            </w:pPr>
            <w:r>
              <w:rPr>
                <w:rFonts w:ascii="Consolas" w:cs="Consolas" w:eastAsia="Consolas" w:hAnsi="Consolas"/>
                <w:color w:val="1A1D21"/>
                <w:sz w:val="16"/>
                <w:szCs w:val="16"/>
              </w:rPr>
              <w:t xml:space="preserve">              under ASHRAE 52.2.",</w:t>
            </w:r>
          </w:p>
          <w:p>
            <w:pPr>
              <w:spacing w:after="20" w:line="240"/>
            </w:pPr>
            <w:r>
              <w:rPr>
                <w:rFonts w:ascii="Consolas" w:cs="Consolas" w:eastAsia="Consolas" w:hAnsi="Consolas"/>
                <w:color w:val="1A1D21"/>
                <w:sz w:val="16"/>
                <w:szCs w:val="16"/>
              </w:rPr>
              <w:t xml:space="preserve">  "origin": "manufacturer" }</w:t>
            </w:r>
          </w:p>
          <w:p>
            <w:pPr>
              <w:spacing w:after="20" w:line="240"/>
            </w:pPr>
            <w:r>
              <w:rPr>
                <w:rFonts w:ascii="Consolas" w:cs="Consolas" w:eastAsia="Consolas" w:hAnsi="Consolas"/>
                <w:color w:val="1A1D21"/>
                <w:sz w:val="16"/>
                <w:szCs w:val="16"/>
              </w:rPr>
              <w:t xml:space="preserve"> </w:t>
            </w:r>
          </w:p>
          <w:p>
            <w:pPr>
              <w:spacing w:after="0" w:line="240"/>
            </w:pPr>
            <w:r>
              <w:rPr>
                <w:rFonts w:ascii="Consolas" w:cs="Consolas" w:eastAsia="Consolas" w:hAnsi="Consolas"/>
                <w:color w:val="1A1D21"/>
                <w:sz w:val="16"/>
                <w:szCs w:val="16"/>
              </w:rPr>
              <w:t xml:space="preserve">"properties": [ { "definition": "urn:uuid:...076", "value": "MERV 13" } ]</w:t>
            </w:r>
          </w:p>
        </w:tc>
      </w:tr>
    </w:tbl>
    <w:p>
      <w:pPr>
        <w:pStyle w:val="BodyCopy"/>
      </w:pPr>
      <w:r>
        <w:t xml:space="preserve">The requirement exists because a free-form property map interacts badly with the completeness declaration, which is the honesty mechanism this standard leans on. An exporter could place most of what it knows in bare key-value pairs, declare the domain complete, and pass every other test — technically true, materially false.</w:t>
      </w:r>
    </w:p>
    <w:p>
      <w:pPr>
        <w:pStyle w:val="BodyCopy"/>
      </w:pPr>
      <w:r>
        <w:t xml:space="preserve">The cost falls in the right place. A vendor with two hundred distinct property names writes two hundred definitions once per product and ships them with every export, whether the package covers fifty assets or fifty thousand. That is a one-time engineering cost on the vendor rather than a recurring interpretation cost on the owner.</w:t>
      </w:r>
    </w:p>
    <w:p>
      <w:pPr>
        <w:pStyle w:val="Heading3"/>
      </w:pPr>
      <w:r>
        <w:rPr>
          <w:color w:val="8C6D46"/>
        </w:rPr>
        <w:t xml:space="preserve">7.8.1</w:t>
      </w:r>
      <w:r>
        <w:t xml:space="preserve">  </w:t>
      </w:r>
      <w:r>
        <w:t xml:space="preserve">Consequences</w:t>
      </w:r>
    </w:p>
    <w:p>
      <w:pPr>
        <w:pStyle w:val="BulletCopy"/>
        <w:numPr>
          <w:ilvl w:val="0"/>
          <w:numId w:val="2"/>
        </w:numPr>
      </w:pPr>
      <w:r>
        <w:rPr>
          <w:b/>
          <w:bCs/>
          <w:color w:val="1A1D21"/>
        </w:rPr>
        <w:t xml:space="preserve">Quantity kinds resolve here</w:t>
      </w:r>
      <w:r>
        <w:t xml:space="preserve"> — </w:t>
      </w:r>
      <w:r>
        <w:t xml:space="preserve">a point’s </w:t>
      </w:r>
      <w:r>
        <w:rPr>
          <w:rFonts w:ascii="Consolas" w:cs="Consolas" w:eastAsia="Consolas" w:hAnsi="Consolas"/>
          <w:color w:val="1A1D21"/>
          <w:sz w:val="18"/>
          <w:szCs w:val="18"/>
          <w:shd w:fill="F2F1ED" w:color="auto" w:val="clear"/>
        </w:rPr>
        <w:t xml:space="preserve">quantityKind</w:t>
      </w:r>
      <w:r>
        <w:t xml:space="preserve"> is a reference to a property definition rather than a free token (8.5). Point semantics and asset properties use one mechanism instead of two.</w:t>
      </w:r>
    </w:p>
    <w:p>
      <w:pPr>
        <w:pStyle w:val="BulletCopy"/>
        <w:numPr>
          <w:ilvl w:val="0"/>
          <w:numId w:val="2"/>
        </w:numPr>
      </w:pPr>
      <w:r>
        <w:rPr>
          <w:b/>
          <w:bCs/>
          <w:color w:val="1A1D21"/>
        </w:rPr>
        <w:t xml:space="preserve">Package quality becomes measurable</w:t>
      </w:r>
      <w:r>
        <w:t xml:space="preserve"> — </w:t>
      </w:r>
      <w:r>
        <w:t xml:space="preserve">the proportion of property values that are defined against those that are not is a figure an owner can read before purchase. It converts "is this export any good" from a judgment into a number.</w:t>
      </w:r>
    </w:p>
    <w:p>
      <w:pPr>
        <w:pStyle w:val="BulletCopy"/>
        <w:numPr>
          <w:ilvl w:val="0"/>
          <w:numId w:val="2"/>
        </w:numPr>
      </w:pPr>
      <w:r>
        <w:rPr>
          <w:b/>
          <w:bCs/>
          <w:color w:val="1A1D21"/>
        </w:rPr>
        <w:t xml:space="preserve">Shared vocabulary grows bottom-up</w:t>
      </w:r>
      <w:r>
        <w:t xml:space="preserve"> — </w:t>
      </w:r>
      <w:r>
        <w:t xml:space="preserve">definitions that many independent vendors emit identically are evidence of real shared meaning, and become promotion candidates into the core through the mechanism of 15.5. The standard never has to guess a taxonomy in advance.</w:t>
      </w:r>
    </w:p>
    <w:p>
      <w:pPr>
        <w:pStyle w:val="BodyCopy"/>
      </w:pPr>
      <w:r>
        <w:t xml:space="preserve">Definitions are entities, so they carry provenance and revision. Who defined </w:t>
      </w:r>
      <w:r>
        <w:rPr>
          <w:rFonts w:ascii="Consolas" w:cs="Consolas" w:eastAsia="Consolas" w:hAnsi="Consolas"/>
          <w:color w:val="1A1D21"/>
          <w:sz w:val="18"/>
          <w:szCs w:val="18"/>
          <w:shd w:fill="F2F1ED" w:color="auto" w:val="clear"/>
        </w:rPr>
        <w:t xml:space="preserve">filterClass</w:t>
      </w:r>
      <w:r>
        <w:t xml:space="preserve">, when, and what changed when the definition was revised are all answerable.</w:t>
      </w:r>
    </w:p>
    <w:p>
      <w:pPr>
        <w:pStyle w:val="BodyCopy"/>
      </w:pPr>
      <w:r>
        <w:t xml:space="preserve">A definition </w:t>
      </w:r>
      <w:r>
        <w:rPr>
          <w:b/>
          <w:bCs/>
          <w:color w:val="8C6D46"/>
        </w:rPr>
        <w:t xml:space="preserve">MUST NOT</w:t>
      </w:r>
      <w:r>
        <w:t xml:space="preserve"> be silently merged with another of the same name but different meaning (test RT-21). Two vendors using </w:t>
      </w:r>
      <w:r>
        <w:rPr>
          <w:rFonts w:ascii="Consolas" w:cs="Consolas" w:eastAsia="Consolas" w:hAnsi="Consolas"/>
          <w:color w:val="1A1D21"/>
          <w:sz w:val="18"/>
          <w:szCs w:val="18"/>
          <w:shd w:fill="F2F1ED" w:color="auto" w:val="clear"/>
        </w:rPr>
        <w:t xml:space="preserve">capacity</w:t>
      </w:r>
      <w:r>
        <w:t xml:space="preserve"> to mean different things is a fact about the world, and flattening it destroys the evidence that a human needs to reconcile them.</w:t>
      </w:r>
    </w:p>
    <w:p>
      <w:pPr>
        <w:pStyle w:val="Heading1"/>
      </w:pPr>
      <w:r>
        <w:rPr>
          <w:rFonts w:ascii="Georgia" w:cs="Georgia" w:eastAsia="Georgia" w:hAnsi="Georgia"/>
          <w:color w:val="8C6D46"/>
        </w:rPr>
        <w:t xml:space="preserve">8</w:t>
      </w:r>
      <w:r>
        <w:t xml:space="preserve">  </w:t>
      </w:r>
      <w:r>
        <w:t xml:space="preserve">The information model</w:t>
      </w:r>
    </w:p>
    <w:p>
      <w:pPr>
        <w:spacing w:after="160" w:before="0"/>
      </w:pPr>
      <w:r>
        <w:rPr>
          <w:rFonts w:ascii="Calibri" w:cs="Calibri" w:eastAsia="Calibri" w:hAnsi="Calibri"/>
          <w:b/>
          <w:bCs/>
          <w:color w:val="8C6D46"/>
          <w:spacing w:val="40"/>
          <w:sz w:val="14"/>
          <w:szCs w:val="14"/>
        </w:rPr>
        <w:t xml:space="preserve">AGREED</w:t>
      </w:r>
      <w:r>
        <w:t xml:space="preserve">   </w:t>
      </w:r>
      <w:r>
        <w:rPr>
          <w:i/>
          <w:iCs/>
          <w:color w:val="70757C"/>
          <w:sz w:val="17"/>
          <w:szCs w:val="17"/>
        </w:rPr>
        <w:t xml:space="preserve">The class set was reduced from v0.1 in two places and extended in four. See Decision Record group B.</w:t>
      </w:r>
    </w:p>
    <w:p>
      <w:pPr>
        <w:pStyle w:val="Heading2"/>
      </w:pPr>
      <w:r>
        <w:rPr>
          <w:color w:val="8C6D46"/>
        </w:rPr>
        <w:t xml:space="preserve">8.1</w:t>
      </w:r>
      <w:r>
        <w:t xml:space="preserve">  </w:t>
      </w:r>
      <w:r>
        <w:t xml:space="preserve">The entity envelope</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2200"/>
        <w:gridCol w:w="6872"/>
      </w:tblGrid>
      <w:tr>
        <w:trPr>
          <w:cantSplit/>
          <w:tblHeader/>
        </w:trPr>
        <w:tc>
          <w:tcPr>
            <w:tcW w:type="dxa" w:w="22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Property</w:t>
            </w:r>
          </w:p>
        </w:tc>
        <w:tc>
          <w:tcPr>
            <w:tcW w:type="dxa" w:w="68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Requirement</w:t>
            </w:r>
          </w:p>
        </w:tc>
      </w:tr>
      <w:tr>
        <w:trPr>
          <w:cantSplit/>
        </w:trPr>
        <w:tc>
          <w:tcPr>
            <w:tcW w:type="dxa" w:w="22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id</w:t>
            </w:r>
          </w:p>
        </w:tc>
        <w:tc>
          <w:tcPr>
            <w:tcW w:type="dxa" w:w="6872"/>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REQUIRED</w:t>
            </w:r>
            <w:r>
              <w:rPr>
                <w:sz w:val="18"/>
                <w:szCs w:val="18"/>
              </w:rPr>
              <w:t xml:space="preserve">. Clause 6.</w:t>
            </w:r>
          </w:p>
        </w:tc>
      </w:tr>
      <w:tr>
        <w:trPr>
          <w:cantSplit/>
        </w:trPr>
        <w:tc>
          <w:tcPr>
            <w:tcW w:type="dxa" w:w="22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type</w:t>
            </w:r>
          </w:p>
        </w:tc>
        <w:tc>
          <w:tcPr>
            <w:tcW w:type="dxa" w:w="6872"/>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REQUIRED</w:t>
            </w:r>
            <w:r>
              <w:rPr>
                <w:sz w:val="18"/>
                <w:szCs w:val="18"/>
              </w:rPr>
              <w:t xml:space="preserve">. A core class prefixed </w:t>
            </w:r>
            <w:r>
              <w:rPr>
                <w:rFonts w:ascii="Consolas" w:cs="Consolas" w:eastAsia="Consolas" w:hAnsi="Consolas"/>
                <w:color w:val="1A1D21"/>
                <w:sz w:val="15"/>
                <w:szCs w:val="15"/>
                <w:shd w:fill="F2F1ED" w:color="auto" w:val="clear"/>
              </w:rPr>
              <w:t xml:space="preserve">bus:</w:t>
            </w:r>
            <w:r>
              <w:rPr>
                <w:sz w:val="18"/>
                <w:szCs w:val="18"/>
              </w:rPr>
              <w:t xml:space="preserve">, or an extension class in a declared namespace.</w:t>
            </w:r>
          </w:p>
        </w:tc>
      </w:tr>
      <w:tr>
        <w:trPr>
          <w:cantSplit/>
        </w:trPr>
        <w:tc>
          <w:tcPr>
            <w:tcW w:type="dxa" w:w="22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abstractTypes</w:t>
            </w:r>
          </w:p>
        </w:tc>
        <w:tc>
          <w:tcPr>
            <w:tcW w:type="dxa" w:w="6872"/>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RECOMMENDED</w:t>
            </w:r>
            <w:r>
              <w:rPr>
                <w:sz w:val="18"/>
                <w:szCs w:val="18"/>
              </w:rPr>
              <w:t xml:space="preserve">. Ancestor classes, most specific first, so a receiver can place an entity whose leaf class it does not recognize. 8.2.</w:t>
            </w:r>
          </w:p>
        </w:tc>
      </w:tr>
      <w:tr>
        <w:trPr>
          <w:cantSplit/>
        </w:trPr>
        <w:tc>
          <w:tcPr>
            <w:tcW w:type="dxa" w:w="22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localId</w:t>
            </w:r>
          </w:p>
        </w:tc>
        <w:tc>
          <w:tcPr>
            <w:tcW w:type="dxa" w:w="6872"/>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RECOMMENDED</w:t>
            </w:r>
            <w:r>
              <w:rPr>
                <w:sz w:val="18"/>
                <w:szCs w:val="18"/>
              </w:rPr>
              <w:t xml:space="preserve">. Unique within the package. Not a reference target.</w:t>
            </w:r>
          </w:p>
        </w:tc>
      </w:tr>
      <w:tr>
        <w:trPr>
          <w:cantSplit/>
        </w:trPr>
        <w:tc>
          <w:tcPr>
            <w:tcW w:type="dxa" w:w="22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name</w:t>
            </w:r>
            <w:r>
              <w:rPr>
                <w:sz w:val="18"/>
                <w:szCs w:val="18"/>
              </w:rPr>
              <w:t xml:space="preserve">, </w:t>
            </w:r>
            <w:r>
              <w:rPr>
                <w:rFonts w:ascii="Consolas" w:cs="Consolas" w:eastAsia="Consolas" w:hAnsi="Consolas"/>
                <w:color w:val="1A1D21"/>
                <w:sz w:val="15"/>
                <w:szCs w:val="15"/>
                <w:shd w:fill="F2F1ED" w:color="auto" w:val="clear"/>
              </w:rPr>
              <w:t xml:space="preserve">description</w:t>
            </w:r>
          </w:p>
        </w:tc>
        <w:tc>
          <w:tcPr>
            <w:tcW w:type="dxa" w:w="6872"/>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RECOMMENDED</w:t>
            </w:r>
            <w:r>
              <w:rPr>
                <w:sz w:val="18"/>
                <w:szCs w:val="18"/>
              </w:rPr>
              <w:t xml:space="preserve">. Text, per 7.2.</w:t>
            </w:r>
          </w:p>
        </w:tc>
      </w:tr>
      <w:tr>
        <w:trPr>
          <w:cantSplit/>
        </w:trPr>
        <w:tc>
          <w:tcPr>
            <w:tcW w:type="dxa" w:w="22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externalIds</w:t>
            </w:r>
          </w:p>
        </w:tc>
        <w:tc>
          <w:tcPr>
            <w:tcW w:type="dxa" w:w="6872"/>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RECOMMENDED</w:t>
            </w:r>
            <w:r>
              <w:rPr>
                <w:sz w:val="18"/>
                <w:szCs w:val="18"/>
              </w:rPr>
              <w:t xml:space="preserve"> where other systems know the entity. 6.3.</w:t>
            </w:r>
          </w:p>
        </w:tc>
      </w:tr>
      <w:tr>
        <w:trPr>
          <w:cantSplit/>
        </w:trPr>
        <w:tc>
          <w:tcPr>
            <w:tcW w:type="dxa" w:w="22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classifications</w:t>
            </w:r>
          </w:p>
        </w:tc>
        <w:tc>
          <w:tcPr>
            <w:tcW w:type="dxa" w:w="6872"/>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RECOMMENDED</w:t>
            </w:r>
            <w:r>
              <w:rPr>
                <w:sz w:val="18"/>
                <w:szCs w:val="18"/>
              </w:rPr>
              <w:t xml:space="preserve">. 7.7.</w:t>
            </w:r>
          </w:p>
        </w:tc>
      </w:tr>
      <w:tr>
        <w:trPr>
          <w:cantSplit/>
        </w:trPr>
        <w:tc>
          <w:tcPr>
            <w:tcW w:type="dxa" w:w="22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properties</w:t>
            </w:r>
          </w:p>
        </w:tc>
        <w:tc>
          <w:tcPr>
            <w:tcW w:type="dxa" w:w="6872"/>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OPTIONAL</w:t>
            </w:r>
            <w:r>
              <w:rPr>
                <w:sz w:val="18"/>
                <w:szCs w:val="18"/>
              </w:rPr>
              <w:t xml:space="preserve">. Property values, each referencing a definition. 7.8.</w:t>
            </w:r>
          </w:p>
        </w:tc>
      </w:tr>
      <w:tr>
        <w:trPr>
          <w:cantSplit/>
        </w:trPr>
        <w:tc>
          <w:tcPr>
            <w:tcW w:type="dxa" w:w="22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lifecycle</w:t>
            </w:r>
          </w:p>
        </w:tc>
        <w:tc>
          <w:tcPr>
            <w:tcW w:type="dxa" w:w="6872"/>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RECOMMENDED</w:t>
            </w:r>
            <w:r>
              <w:rPr>
                <w:sz w:val="18"/>
                <w:szCs w:val="18"/>
              </w:rPr>
              <w:t xml:space="preserve"> for physical entities. Status and the dates bounding service life.</w:t>
            </w:r>
          </w:p>
        </w:tc>
      </w:tr>
      <w:tr>
        <w:trPr>
          <w:cantSplit/>
        </w:trPr>
        <w:tc>
          <w:tcPr>
            <w:tcW w:type="dxa" w:w="22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versioning</w:t>
            </w:r>
          </w:p>
        </w:tc>
        <w:tc>
          <w:tcPr>
            <w:tcW w:type="dxa" w:w="6872"/>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RECOMMENDED</w:t>
            </w:r>
            <w:r>
              <w:rPr>
                <w:sz w:val="18"/>
                <w:szCs w:val="18"/>
              </w:rPr>
              <w:t xml:space="preserve">. Revision, schema version, effective period, deprecation. 6.6.</w:t>
            </w:r>
          </w:p>
        </w:tc>
      </w:tr>
      <w:tr>
        <w:trPr>
          <w:cantSplit/>
        </w:trPr>
        <w:tc>
          <w:tcPr>
            <w:tcW w:type="dxa" w:w="22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provenance</w:t>
            </w:r>
          </w:p>
        </w:tc>
        <w:tc>
          <w:tcPr>
            <w:tcW w:type="dxa" w:w="6872"/>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RECOMMENDED</w:t>
            </w:r>
            <w:r>
              <w:rPr>
                <w:sz w:val="18"/>
                <w:szCs w:val="18"/>
              </w:rPr>
              <w:t xml:space="preserve">. Clause 14.</w:t>
            </w:r>
          </w:p>
        </w:tc>
      </w:tr>
      <w:tr>
        <w:trPr>
          <w:cantSplit/>
        </w:trPr>
        <w:tc>
          <w:tcPr>
            <w:tcW w:type="dxa" w:w="22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extensions</w:t>
            </w:r>
          </w:p>
        </w:tc>
        <w:tc>
          <w:tcPr>
            <w:tcW w:type="dxa" w:w="6872"/>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OPTIONAL</w:t>
            </w:r>
            <w:r>
              <w:rPr>
                <w:sz w:val="18"/>
                <w:szCs w:val="18"/>
              </w:rPr>
              <w:t xml:space="preserve">. Clause 15.</w:t>
            </w:r>
          </w:p>
        </w:tc>
      </w:tr>
    </w:tbl>
    <w:p>
      <w:pPr>
        <w:pStyle w:val="BodyCopy"/>
      </w:pPr>
      <w:r>
        <w:t xml:space="preserve">An entity carrying nothing beyond </w:t>
      </w:r>
      <w:r>
        <w:rPr>
          <w:rFonts w:ascii="Consolas" w:cs="Consolas" w:eastAsia="Consolas" w:hAnsi="Consolas"/>
          <w:color w:val="1A1D21"/>
          <w:sz w:val="18"/>
          <w:szCs w:val="18"/>
          <w:shd w:fill="F2F1ED" w:color="auto" w:val="clear"/>
        </w:rPr>
        <w:t xml:space="preserve">id</w:t>
      </w:r>
      <w:r>
        <w:t xml:space="preserve"> and </w:t>
      </w:r>
      <w:r>
        <w:rPr>
          <w:rFonts w:ascii="Consolas" w:cs="Consolas" w:eastAsia="Consolas" w:hAnsi="Consolas"/>
          <w:color w:val="1A1D21"/>
          <w:sz w:val="18"/>
          <w:szCs w:val="18"/>
          <w:shd w:fill="F2F1ED" w:color="auto" w:val="clear"/>
        </w:rPr>
        <w:t xml:space="preserve">type</w:t>
      </w:r>
      <w:r>
        <w:t xml:space="preserve"> is valid. It asserts existence and nothing more, which is occasionally the honest thing to assert.</w:t>
      </w:r>
    </w:p>
    <w:p>
      <w:pPr>
        <w:pStyle w:val="NoteCopy"/>
      </w:pPr>
      <w:r>
        <w:rPr>
          <w:b/>
          <w:bCs/>
          <w:color w:val="70757C"/>
          <w:sz w:val="18"/>
          <w:szCs w:val="18"/>
        </w:rPr>
        <w:t xml:space="preserve">NOTE </w:t>
      </w:r>
      <w:r>
        <w:rPr>
          <w:color w:val="70757C"/>
          <w:sz w:val="18"/>
          <w:szCs w:val="18"/>
        </w:rPr>
        <w:t xml:space="preserve">v0.1 carried a </w:t>
      </w:r>
      <w:r>
        <w:rPr>
          <w:rFonts w:ascii="Consolas" w:cs="Consolas" w:eastAsia="Consolas" w:hAnsi="Consolas"/>
          <w:color w:val="1A1D21"/>
          <w:sz w:val="15"/>
          <w:szCs w:val="15"/>
          <w:shd w:fill="F2F1ED" w:color="auto" w:val="clear"/>
        </w:rPr>
        <w:t xml:space="preserve">References</w:t>
      </w:r>
      <w:r>
        <w:rPr>
          <w:color w:val="70757C"/>
          <w:sz w:val="18"/>
          <w:szCs w:val="18"/>
        </w:rPr>
        <w:t xml:space="preserve"> field group in the envelope. It was removed: it violates 5.3.1 and duplicates the </w:t>
      </w:r>
      <w:r>
        <w:rPr>
          <w:rFonts w:ascii="Consolas" w:cs="Consolas" w:eastAsia="Consolas" w:hAnsi="Consolas"/>
          <w:color w:val="1A1D21"/>
          <w:sz w:val="15"/>
          <w:szCs w:val="15"/>
          <w:shd w:fill="F2F1ED" w:color="auto" w:val="clear"/>
        </w:rPr>
        <w:t xml:space="preserve">bus:documentedBy</w:t>
      </w:r>
      <w:r>
        <w:rPr>
          <w:color w:val="70757C"/>
          <w:sz w:val="18"/>
          <w:szCs w:val="18"/>
        </w:rPr>
        <w:t xml:space="preserve"> relationship.</w:t>
      </w:r>
    </w:p>
    <w:p>
      <w:pPr>
        <w:pStyle w:val="Heading2"/>
      </w:pPr>
      <w:r>
        <w:rPr>
          <w:color w:val="8C6D46"/>
        </w:rPr>
        <w:t xml:space="preserve">8.2</w:t>
      </w:r>
      <w:r>
        <w:t xml:space="preserve">  </w:t>
      </w:r>
      <w:r>
        <w:t xml:space="preserve">Abstract types and graceful degradation</w:t>
      </w:r>
    </w:p>
    <w:p>
      <w:pPr>
        <w:spacing w:after="160" w:before="0"/>
      </w:pPr>
      <w:r>
        <w:rPr>
          <w:rFonts w:ascii="Calibri" w:cs="Calibri" w:eastAsia="Calibri" w:hAnsi="Calibri"/>
          <w:b/>
          <w:bCs/>
          <w:color w:val="8C6D46"/>
          <w:spacing w:val="40"/>
          <w:sz w:val="14"/>
          <w:szCs w:val="14"/>
        </w:rPr>
        <w:t xml:space="preserve">PROVISIONAL</w:t>
      </w:r>
      <w:r>
        <w:t xml:space="preserve">   </w:t>
      </w:r>
      <w:r>
        <w:rPr>
          <w:i/>
          <w:iCs/>
          <w:color w:val="70757C"/>
          <w:sz w:val="17"/>
          <w:szCs w:val="17"/>
        </w:rPr>
        <w:t xml:space="preserve">New in v0.2.</w:t>
      </w:r>
    </w:p>
    <w:p>
      <w:pPr>
        <w:pStyle w:val="BodyCopy"/>
      </w:pPr>
      <w:r>
        <w:t xml:space="preserve">An entity </w:t>
      </w:r>
      <w:r>
        <w:rPr>
          <w:b/>
          <w:bCs/>
          <w:color w:val="8C6D46"/>
        </w:rPr>
        <w:t xml:space="preserve">SHOULD</w:t>
      </w:r>
      <w:r>
        <w:t xml:space="preserve"> declare its ancestor classes. A receiver meeting </w:t>
      </w:r>
      <w:r>
        <w:rPr>
          <w:rFonts w:ascii="Consolas" w:cs="Consolas" w:eastAsia="Consolas" w:hAnsi="Consolas"/>
          <w:color w:val="1A1D21"/>
          <w:sz w:val="18"/>
          <w:szCs w:val="18"/>
          <w:shd w:fill="F2F1ED" w:color="auto" w:val="clear"/>
        </w:rPr>
        <w:t xml:space="preserve">bus:Asset</w:t>
      </w:r>
      <w:r>
        <w:t xml:space="preserve"> with </w:t>
      </w:r>
      <w:r>
        <w:rPr>
          <w:rFonts w:ascii="Consolas" w:cs="Consolas" w:eastAsia="Consolas" w:hAnsi="Consolas"/>
          <w:color w:val="1A1D21"/>
          <w:sz w:val="18"/>
          <w:szCs w:val="18"/>
          <w:shd w:fill="F2F1ED" w:color="auto" w:val="clear"/>
        </w:rPr>
        <w:t xml:space="preserve">assetKind</w:t>
      </w:r>
      <w:r>
        <w:t xml:space="preserve"> of a value it does not recognize, or an extension class it has never seen, can then still place it correctly rather than treating it as opaque.</w:t>
      </w:r>
    </w:p>
    <w:tbl>
      <w:tblPr>
        <w:tblW w:type="dxa" w:w="9072"/>
        <w:tblBorders>
          <w:top w:val="none" w:color="FFFFFF" w:sz="0"/>
          <w:left w:val="single" w:color="D9D4C9" w:sz="12"/>
          <w:bottom w:val="none" w:color="FFFFFF" w:sz="0"/>
          <w:right w:val="none" w:color="FFFFFF" w:sz="0"/>
          <w:insideH w:val="none" w:color="FFFFFF" w:sz="0"/>
          <w:insideV w:val="none" w:color="FFFFFF" w:sz="0"/>
        </w:tblBorders>
        <w:tblLayout w:type="fixed"/>
      </w:tblPr>
      <w:tblGrid>
        <w:gridCol w:w="9072"/>
      </w:tblGrid>
      <w:tr>
        <w:trPr>
          <w:cantSplit w:val="false"/>
        </w:trPr>
        <w:tc>
          <w:tcPr>
            <w:tcW w:type="dxa" w:w="9072"/>
            <w:shd w:fill="F2F1ED" w:color="auto" w:val="clear"/>
            <w:tcMar>
              <w:top w:type="dxa" w:w="160"/>
              <w:left w:type="dxa" w:w="220"/>
              <w:bottom w:type="dxa" w:w="160"/>
              <w:right w:type="dxa" w:w="200"/>
            </w:tcMar>
          </w:tcPr>
          <w:p>
            <w:pPr>
              <w:spacing w:after="20" w:line="240"/>
            </w:pPr>
            <w:r>
              <w:rPr>
                <w:rFonts w:ascii="Consolas" w:cs="Consolas" w:eastAsia="Consolas" w:hAnsi="Consolas"/>
                <w:color w:val="1A1D21"/>
                <w:sz w:val="16"/>
                <w:szCs w:val="16"/>
              </w:rPr>
              <w:t xml:space="preserve">"type": "bus:Asset",</w:t>
            </w:r>
          </w:p>
          <w:p>
            <w:pPr>
              <w:spacing w:after="20" w:line="240"/>
            </w:pPr>
            <w:r>
              <w:rPr>
                <w:rFonts w:ascii="Consolas" w:cs="Consolas" w:eastAsia="Consolas" w:hAnsi="Consolas"/>
                <w:color w:val="1A1D21"/>
                <w:sz w:val="16"/>
                <w:szCs w:val="16"/>
              </w:rPr>
              <w:t xml:space="preserve">"assetKind": "equipment",</w:t>
            </w:r>
          </w:p>
          <w:p>
            <w:pPr>
              <w:spacing w:after="0" w:line="240"/>
            </w:pPr>
            <w:r>
              <w:rPr>
                <w:rFonts w:ascii="Consolas" w:cs="Consolas" w:eastAsia="Consolas" w:hAnsi="Consolas"/>
                <w:color w:val="1A1D21"/>
                <w:sz w:val="16"/>
                <w:szCs w:val="16"/>
              </w:rPr>
              <w:t xml:space="preserve">"abstractTypes": ["bus:Asset", "bus:PhysicalEntity", "bus:Entity"]</w:t>
            </w:r>
          </w:p>
        </w:tc>
      </w:tr>
    </w:tbl>
    <w:p>
      <w:pPr>
        <w:pStyle w:val="BodyCopy"/>
      </w:pPr>
      <w:r>
        <w:t xml:space="preserve">The same principle governs symbol roles (13.4.2), and the two </w:t>
      </w:r>
      <w:r>
        <w:rPr>
          <w:b/>
          <w:bCs/>
          <w:color w:val="8C6D46"/>
        </w:rPr>
        <w:t xml:space="preserve">SHOULD</w:t>
      </w:r>
      <w:r>
        <w:t xml:space="preserve"> behave alike: unknown leaf, known ancestor, correct handling.</w:t>
      </w:r>
    </w:p>
    <w:p>
      <w:pPr>
        <w:pStyle w:val="Heading2"/>
      </w:pPr>
      <w:r>
        <w:rPr>
          <w:color w:val="8C6D46"/>
        </w:rPr>
        <w:t xml:space="preserve">8.3</w:t>
      </w:r>
      <w:r>
        <w:t xml:space="preserve">  </w:t>
      </w:r>
      <w:r>
        <w:t xml:space="preserve">Parties</w:t>
      </w:r>
    </w:p>
    <w:p>
      <w:pPr>
        <w:pStyle w:val="BodyCopy"/>
      </w:pPr>
      <w:r>
        <w:rPr>
          <w:rFonts w:ascii="Consolas" w:cs="Consolas" w:eastAsia="Consolas" w:hAnsi="Consolas"/>
          <w:color w:val="1A1D21"/>
          <w:sz w:val="18"/>
          <w:szCs w:val="18"/>
          <w:shd w:fill="F2F1ED" w:color="auto" w:val="clear"/>
        </w:rPr>
        <w:t xml:space="preserve">bus:Party</w:t>
      </w:r>
      <w:r>
        <w:t xml:space="preserve"> is a person or organization with a role in the building: owner, operator, occupant, tenant, service provider, vendor, integrator, consultant, or authority.</w:t>
      </w:r>
    </w:p>
    <w:p>
      <w:pPr>
        <w:pStyle w:val="BodyCopy"/>
      </w:pPr>
      <w:r>
        <w:t xml:space="preserve">The owner </w:t>
      </w:r>
      <w:r>
        <w:rPr>
          <w:b/>
          <w:bCs/>
          <w:color w:val="8C6D46"/>
        </w:rPr>
        <w:t xml:space="preserve">SHOULD</w:t>
      </w:r>
      <w:r>
        <w:t xml:space="preserve"> be identified and named in the manifest subject. A standard whose purpose is owner rights, in which the owner is not addressable, cannot state whose asset a package is.</w:t>
      </w:r>
    </w:p>
    <w:p>
      <w:pPr>
        <w:pStyle w:val="NoteCopy"/>
      </w:pPr>
      <w:r>
        <w:rPr>
          <w:b/>
          <w:bCs/>
          <w:color w:val="70757C"/>
          <w:sz w:val="18"/>
          <w:szCs w:val="18"/>
        </w:rPr>
        <w:t xml:space="preserve">NOTE </w:t>
      </w:r>
      <w:r>
        <w:rPr>
          <w:color w:val="70757C"/>
          <w:sz w:val="18"/>
          <w:szCs w:val="18"/>
        </w:rPr>
        <w:t xml:space="preserve">Provenance may name an acting party inline as an </w:t>
      </w:r>
      <w:r>
        <w:rPr>
          <w:rFonts w:ascii="Consolas" w:cs="Consolas" w:eastAsia="Consolas" w:hAnsi="Consolas"/>
          <w:color w:val="1A1D21"/>
          <w:sz w:val="15"/>
          <w:szCs w:val="15"/>
          <w:shd w:fill="F2F1ED" w:color="auto" w:val="clear"/>
        </w:rPr>
        <w:t xml:space="preserve">Agent</w:t>
      </w:r>
      <w:r>
        <w:rPr>
          <w:color w:val="70757C"/>
          <w:sz w:val="18"/>
          <w:szCs w:val="18"/>
        </w:rPr>
        <w:t xml:space="preserve">. Where the party is addressable, the agent </w:t>
      </w:r>
      <w:r>
        <w:rPr>
          <w:b/>
          <w:bCs/>
          <w:color w:val="70757C"/>
          <w:sz w:val="18"/>
          <w:szCs w:val="18"/>
        </w:rPr>
        <w:t xml:space="preserve">SHOULD</w:t>
      </w:r>
      <w:r>
        <w:rPr>
          <w:color w:val="70757C"/>
          <w:sz w:val="18"/>
          <w:szCs w:val="18"/>
        </w:rPr>
        <w:t xml:space="preserve"> carry a </w:t>
      </w:r>
      <w:r>
        <w:rPr>
          <w:rFonts w:ascii="Consolas" w:cs="Consolas" w:eastAsia="Consolas" w:hAnsi="Consolas"/>
          <w:color w:val="1A1D21"/>
          <w:sz w:val="15"/>
          <w:szCs w:val="15"/>
          <w:shd w:fill="F2F1ED" w:color="auto" w:val="clear"/>
        </w:rPr>
        <w:t xml:space="preserve">partyRef</w:t>
      </w:r>
      <w:r>
        <w:rPr>
          <w:color w:val="70757C"/>
          <w:sz w:val="18"/>
          <w:szCs w:val="18"/>
        </w:rPr>
        <w:t xml:space="preserve"> so that the two are connected.</w:t>
      </w:r>
    </w:p>
    <w:p>
      <w:pPr>
        <w:pStyle w:val="Heading2"/>
      </w:pPr>
      <w:r>
        <w:rPr>
          <w:color w:val="8C6D46"/>
        </w:rPr>
        <w:t xml:space="preserve">8.4</w:t>
      </w:r>
      <w:r>
        <w:t xml:space="preserve">  </w:t>
      </w:r>
      <w:r>
        <w:t xml:space="preserve">Buildings, spaces, and zones</w:t>
      </w:r>
    </w:p>
    <w:p>
      <w:pPr>
        <w:pStyle w:val="BodyCopy"/>
      </w:pPr>
      <w:r>
        <w:t xml:space="preserve">Three classes carry structure, on a deliberate cut.</w:t>
      </w:r>
    </w:p>
    <w:p>
      <w:pPr>
        <w:pStyle w:val="BulletCopy"/>
        <w:numPr>
          <w:ilvl w:val="0"/>
          <w:numId w:val="2"/>
        </w:numPr>
      </w:pPr>
      <w:r>
        <w:rPr>
          <w:rFonts w:ascii="Consolas" w:cs="Consolas" w:eastAsia="Consolas" w:hAnsi="Consolas"/>
          <w:color w:val="1A1D21"/>
          <w:sz w:val="18"/>
          <w:szCs w:val="18"/>
          <w:shd w:fill="F2F1ED" w:color="auto" w:val="clear"/>
        </w:rPr>
        <w:t xml:space="preserve">bus:Building</w:t>
      </w:r>
      <w:r>
        <w:t xml:space="preserve"> — </w:t>
      </w:r>
      <w:r>
        <w:t xml:space="preserve">the unit of ownership and transfer. The manifest subject points at buildings. Carries address, geographic position, time zone, and gross figures that let a receiving system sanity-check a model before trusting it. </w:t>
      </w:r>
      <w:r>
        <w:rPr>
          <w:rFonts w:ascii="Consolas" w:cs="Consolas" w:eastAsia="Consolas" w:hAnsi="Consolas"/>
          <w:color w:val="1A1D21"/>
          <w:sz w:val="18"/>
          <w:szCs w:val="18"/>
          <w:shd w:fill="F2F1ED" w:color="auto" w:val="clear"/>
        </w:rPr>
        <w:t xml:space="preserve">timeZone</w:t>
      </w:r>
      <w:r>
        <w:t xml:space="preserve"> </w:t>
      </w:r>
      <w:r>
        <w:rPr>
          <w:b/>
          <w:bCs/>
          <w:color w:val="8C6D46"/>
        </w:rPr>
        <w:t xml:space="preserve">MUST</w:t>
      </w:r>
      <w:r>
        <w:t xml:space="preserve"> be an identifier from [TZDB]; a fixed offset is not acceptable.</w:t>
      </w:r>
    </w:p>
    <w:p>
      <w:pPr>
        <w:pStyle w:val="BulletCopy"/>
        <w:numPr>
          <w:ilvl w:val="0"/>
          <w:numId w:val="2"/>
        </w:numPr>
      </w:pPr>
      <w:r>
        <w:rPr>
          <w:rFonts w:ascii="Consolas" w:cs="Consolas" w:eastAsia="Consolas" w:hAnsi="Consolas"/>
          <w:color w:val="1A1D21"/>
          <w:sz w:val="18"/>
          <w:szCs w:val="18"/>
          <w:shd w:fill="F2F1ED" w:color="auto" w:val="clear"/>
        </w:rPr>
        <w:t xml:space="preserve">bus:Space</w:t>
      </w:r>
      <w:r>
        <w:t xml:space="preserve"> — </w:t>
      </w:r>
      <w:r>
        <w:t xml:space="preserve">a bounded region, with a </w:t>
      </w:r>
      <w:r>
        <w:rPr>
          <w:rFonts w:ascii="Consolas" w:cs="Consolas" w:eastAsia="Consolas" w:hAnsi="Consolas"/>
          <w:color w:val="1A1D21"/>
          <w:sz w:val="18"/>
          <w:szCs w:val="18"/>
          <w:shd w:fill="F2F1ED" w:color="auto" w:val="clear"/>
        </w:rPr>
        <w:t xml:space="preserve">spaceKind</w:t>
      </w:r>
      <w:r>
        <w:t xml:space="preserve"> of site, storey, room, open area, circulation, shaft, plant room, exterior, parking, or roof. Spaces nest through </w:t>
      </w:r>
      <w:r>
        <w:rPr>
          <w:rFonts w:ascii="Consolas" w:cs="Consolas" w:eastAsia="Consolas" w:hAnsi="Consolas"/>
          <w:color w:val="1A1D21"/>
          <w:sz w:val="18"/>
          <w:szCs w:val="18"/>
          <w:shd w:fill="F2F1ED" w:color="auto" w:val="clear"/>
        </w:rPr>
        <w:t xml:space="preserve">bus:contains</w:t>
      </w:r>
      <w:r>
        <w:t xml:space="preserve">, so a site contains a building’s spaces and a storey contains rooms. Where </w:t>
      </w:r>
      <w:r>
        <w:rPr>
          <w:rFonts w:ascii="Consolas" w:cs="Consolas" w:eastAsia="Consolas" w:hAnsi="Consolas"/>
          <w:color w:val="1A1D21"/>
          <w:sz w:val="18"/>
          <w:szCs w:val="18"/>
          <w:shd w:fill="F2F1ED" w:color="auto" w:val="clear"/>
        </w:rPr>
        <w:t xml:space="preserve">spaceKind</w:t>
      </w:r>
      <w:r>
        <w:t xml:space="preserve"> is storey, a signed </w:t>
      </w:r>
      <w:r>
        <w:rPr>
          <w:rFonts w:ascii="Consolas" w:cs="Consolas" w:eastAsia="Consolas" w:hAnsi="Consolas"/>
          <w:color w:val="1A1D21"/>
          <w:sz w:val="18"/>
          <w:szCs w:val="18"/>
          <w:shd w:fill="F2F1ED" w:color="auto" w:val="clear"/>
        </w:rPr>
        <w:t xml:space="preserve">ordinal</w:t>
      </w:r>
      <w:r>
        <w:t xml:space="preserve"> gives an orderable value that survives translation, with 0 the principal ground storey.</w:t>
      </w:r>
    </w:p>
    <w:p>
      <w:pPr>
        <w:pStyle w:val="BulletCopy"/>
        <w:numPr>
          <w:ilvl w:val="0"/>
          <w:numId w:val="2"/>
        </w:numPr>
      </w:pPr>
      <w:r>
        <w:rPr>
          <w:rFonts w:ascii="Consolas" w:cs="Consolas" w:eastAsia="Consolas" w:hAnsi="Consolas"/>
          <w:color w:val="1A1D21"/>
          <w:sz w:val="18"/>
          <w:szCs w:val="18"/>
          <w:shd w:fill="F2F1ED" w:color="auto" w:val="clear"/>
        </w:rPr>
        <w:t xml:space="preserve">bus:Zone</w:t>
      </w:r>
      <w:r>
        <w:t xml:space="preserve"> — </w:t>
      </w:r>
      <w:r>
        <w:t xml:space="preserve">a set of spaces behaving as one for some purpose, named by </w:t>
      </w:r>
      <w:r>
        <w:rPr>
          <w:rFonts w:ascii="Consolas" w:cs="Consolas" w:eastAsia="Consolas" w:hAnsi="Consolas"/>
          <w:color w:val="1A1D21"/>
          <w:sz w:val="18"/>
          <w:szCs w:val="18"/>
          <w:shd w:fill="F2F1ED" w:color="auto" w:val="clear"/>
        </w:rPr>
        <w:t xml:space="preserve">zoneKind</w:t>
      </w:r>
      <w:r>
        <w:t xml:space="preserve">. A zone is not a region and has no boundary. Modeling a zone as a space makes containment lie.</w:t>
      </w:r>
    </w:p>
    <w:p>
      <w:pPr>
        <w:pStyle w:val="BodyCopy"/>
      </w:pPr>
      <w:r>
        <w:t xml:space="preserve">Spatial containment is expressed with relationships, not parent pointers, so a space </w:t>
      </w:r>
      <w:r>
        <w:rPr>
          <w:b/>
          <w:bCs/>
          <w:color w:val="8C6D46"/>
        </w:rPr>
        <w:t xml:space="preserve">MAY</w:t>
      </w:r>
      <w:r>
        <w:t xml:space="preserve"> be contained by more than one thing — the usual case for a space that is both on a storey and in a fire compartment.</w:t>
      </w:r>
    </w:p>
    <w:p>
      <w:pPr>
        <w:pStyle w:val="NoteCopy"/>
      </w:pPr>
      <w:r>
        <w:rPr>
          <w:b/>
          <w:bCs/>
          <w:color w:val="70757C"/>
          <w:sz w:val="18"/>
          <w:szCs w:val="18"/>
        </w:rPr>
        <w:t xml:space="preserve">NOTE </w:t>
      </w:r>
      <w:r>
        <w:rPr>
          <w:color w:val="70757C"/>
          <w:sz w:val="18"/>
          <w:szCs w:val="18"/>
        </w:rPr>
        <w:t xml:space="preserve">v0.1 had five classes here. Site, storey, and room differ in attributes rather than in kind, and were collapsed. Building and Zone were kept for the reasons above.</w:t>
      </w:r>
    </w:p>
    <w:p>
      <w:pPr>
        <w:pStyle w:val="Heading2"/>
      </w:pPr>
      <w:r>
        <w:rPr>
          <w:color w:val="8C6D46"/>
        </w:rPr>
        <w:t xml:space="preserve">8.5</w:t>
      </w:r>
      <w:r>
        <w:t xml:space="preserve">  </w:t>
      </w:r>
      <w:r>
        <w:t xml:space="preserve">Systems, asset types, and assets</w:t>
      </w:r>
    </w:p>
    <w:p>
      <w:pPr>
        <w:pStyle w:val="BodyCopy"/>
      </w:pPr>
      <w:r>
        <w:rPr>
          <w:rFonts w:ascii="Consolas" w:cs="Consolas" w:eastAsia="Consolas" w:hAnsi="Consolas"/>
          <w:color w:val="1A1D21"/>
          <w:sz w:val="18"/>
          <w:szCs w:val="18"/>
          <w:shd w:fill="F2F1ED" w:color="auto" w:val="clear"/>
        </w:rPr>
        <w:t xml:space="preserve">bus:System</w:t>
      </w:r>
      <w:r>
        <w:t xml:space="preserve"> groups assets that together deliver something, named by a coarse </w:t>
      </w:r>
      <w:r>
        <w:rPr>
          <w:rFonts w:ascii="Consolas" w:cs="Consolas" w:eastAsia="Consolas" w:hAnsi="Consolas"/>
          <w:color w:val="1A1D21"/>
          <w:sz w:val="18"/>
          <w:szCs w:val="18"/>
          <w:shd w:fill="F2F1ED" w:color="auto" w:val="clear"/>
        </w:rPr>
        <w:t xml:space="preserve">systemKind</w:t>
      </w:r>
      <w:r>
        <w:t xml:space="preserve"> and, where relevant, a </w:t>
      </w:r>
      <w:r>
        <w:rPr>
          <w:rFonts w:ascii="Consolas" w:cs="Consolas" w:eastAsia="Consolas" w:hAnsi="Consolas"/>
          <w:color w:val="1A1D21"/>
          <w:sz w:val="18"/>
          <w:szCs w:val="18"/>
          <w:shd w:fill="F2F1ED" w:color="auto" w:val="clear"/>
        </w:rPr>
        <w:t xml:space="preserve">medium</w:t>
      </w:r>
      <w:r>
        <w:t xml:space="preserve">. Systems are not physical; they are how the building is reasoned about.</w:t>
      </w:r>
    </w:p>
    <w:p>
      <w:pPr>
        <w:pStyle w:val="BodyCopy"/>
      </w:pPr>
      <w:r>
        <w:rPr>
          <w:rFonts w:ascii="Consolas" w:cs="Consolas" w:eastAsia="Consolas" w:hAnsi="Consolas"/>
          <w:color w:val="1A1D21"/>
          <w:sz w:val="18"/>
          <w:szCs w:val="18"/>
          <w:shd w:fill="F2F1ED" w:color="auto" w:val="clear"/>
        </w:rPr>
        <w:t xml:space="preserve">bus:Asset</w:t>
      </w:r>
      <w:r>
        <w:t xml:space="preserve"> is a single class with an </w:t>
      </w:r>
      <w:r>
        <w:rPr>
          <w:rFonts w:ascii="Consolas" w:cs="Consolas" w:eastAsia="Consolas" w:hAnsi="Consolas"/>
          <w:color w:val="1A1D21"/>
          <w:sz w:val="18"/>
          <w:szCs w:val="18"/>
          <w:shd w:fill="F2F1ED" w:color="auto" w:val="clear"/>
        </w:rPr>
        <w:t xml:space="preserve">assetKind</w:t>
      </w:r>
      <w:r>
        <w:t xml:space="preserve">:</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1700"/>
        <w:gridCol w:w="3600"/>
        <w:gridCol w:w="3772"/>
      </w:tblGrid>
      <w:tr>
        <w:trPr>
          <w:cantSplit/>
          <w:tblHeader/>
        </w:trPr>
        <w:tc>
          <w:tcPr>
            <w:tcW w:type="dxa" w:w="17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assetKind</w:t>
            </w:r>
          </w:p>
        </w:tc>
        <w:tc>
          <w:tcPr>
            <w:tcW w:type="dxa" w:w="36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What it is</w:t>
            </w:r>
          </w:p>
        </w:tc>
        <w:tc>
          <w:tcPr>
            <w:tcW w:type="dxa" w:w="37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Example</w:t>
            </w:r>
          </w:p>
        </w:tc>
      </w:tr>
      <w:tr>
        <w:trPr>
          <w:cantSplit/>
        </w:trPr>
        <w:tc>
          <w:tcPr>
            <w:tcW w:type="dxa" w:w="1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equipment</w:t>
            </w:r>
          </w:p>
        </w:tc>
        <w:tc>
          <w:tcPr>
            <w:tcW w:type="dxa" w:w="3600"/>
            <w:shd w:fill="FFFFFF" w:color="auto" w:val="clear"/>
            <w:tcMar>
              <w:top w:type="dxa" w:w="120"/>
              <w:left w:type="dxa" w:w="160"/>
              <w:bottom w:type="dxa" w:w="120"/>
              <w:right w:type="dxa" w:w="160"/>
            </w:tcMar>
            <w:vAlign w:val="top"/>
          </w:tcPr>
          <w:p>
            <w:pPr>
              <w:spacing w:after="0" w:line="260"/>
            </w:pPr>
            <w:r>
              <w:rPr>
                <w:sz w:val="18"/>
                <w:szCs w:val="18"/>
              </w:rPr>
              <w:t xml:space="preserve">A functional unit reasoned about as a whole.</w:t>
            </w:r>
          </w:p>
        </w:tc>
        <w:tc>
          <w:tcPr>
            <w:tcW w:type="dxa" w:w="3772"/>
            <w:shd w:fill="FFFFFF" w:color="auto" w:val="clear"/>
            <w:tcMar>
              <w:top w:type="dxa" w:w="120"/>
              <w:left w:type="dxa" w:w="160"/>
              <w:bottom w:type="dxa" w:w="120"/>
              <w:right w:type="dxa" w:w="160"/>
            </w:tcMar>
            <w:vAlign w:val="top"/>
          </w:tcPr>
          <w:p>
            <w:pPr>
              <w:spacing w:after="0" w:line="260"/>
            </w:pPr>
            <w:r>
              <w:rPr>
                <w:sz w:val="18"/>
                <w:szCs w:val="18"/>
              </w:rPr>
              <w:t xml:space="preserve">An air handling unit, a chiller, a VAV terminal.</w:t>
            </w:r>
          </w:p>
        </w:tc>
      </w:tr>
      <w:tr>
        <w:trPr>
          <w:cantSplit/>
        </w:trPr>
        <w:tc>
          <w:tcPr>
            <w:tcW w:type="dxa" w:w="1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component</w:t>
            </w:r>
          </w:p>
        </w:tc>
        <w:tc>
          <w:tcPr>
            <w:tcW w:type="dxa" w:w="3600"/>
            <w:shd w:fill="FAF9F6" w:color="auto" w:val="clear"/>
            <w:tcMar>
              <w:top w:type="dxa" w:w="120"/>
              <w:left w:type="dxa" w:w="160"/>
              <w:bottom w:type="dxa" w:w="120"/>
              <w:right w:type="dxa" w:w="160"/>
            </w:tcMar>
            <w:vAlign w:val="top"/>
          </w:tcPr>
          <w:p>
            <w:pPr>
              <w:spacing w:after="0" w:line="260"/>
            </w:pPr>
            <w:r>
              <w:rPr>
                <w:sz w:val="18"/>
                <w:szCs w:val="18"/>
              </w:rPr>
              <w:t xml:space="preserve">A separately identified, maintained, or replaced part.</w:t>
            </w:r>
          </w:p>
        </w:tc>
        <w:tc>
          <w:tcPr>
            <w:tcW w:type="dxa" w:w="3772"/>
            <w:shd w:fill="FAF9F6" w:color="auto" w:val="clear"/>
            <w:tcMar>
              <w:top w:type="dxa" w:w="120"/>
              <w:left w:type="dxa" w:w="160"/>
              <w:bottom w:type="dxa" w:w="120"/>
              <w:right w:type="dxa" w:w="160"/>
            </w:tcMar>
            <w:vAlign w:val="top"/>
          </w:tcPr>
          <w:p>
            <w:pPr>
              <w:spacing w:after="0" w:line="260"/>
            </w:pPr>
            <w:r>
              <w:rPr>
                <w:sz w:val="18"/>
                <w:szCs w:val="18"/>
              </w:rPr>
              <w:t xml:space="preserve">A filter bank, a belt, a reheat valve.</w:t>
            </w:r>
          </w:p>
        </w:tc>
      </w:tr>
      <w:tr>
        <w:trPr>
          <w:cantSplit/>
        </w:trPr>
        <w:tc>
          <w:tcPr>
            <w:tcW w:type="dxa" w:w="1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device</w:t>
            </w:r>
          </w:p>
        </w:tc>
        <w:tc>
          <w:tcPr>
            <w:tcW w:type="dxa" w:w="3600"/>
            <w:shd w:fill="FFFFFF" w:color="auto" w:val="clear"/>
            <w:tcMar>
              <w:top w:type="dxa" w:w="120"/>
              <w:left w:type="dxa" w:w="160"/>
              <w:bottom w:type="dxa" w:w="120"/>
              <w:right w:type="dxa" w:w="160"/>
            </w:tcMar>
            <w:vAlign w:val="top"/>
          </w:tcPr>
          <w:p>
            <w:pPr>
              <w:spacing w:after="0" w:line="260"/>
            </w:pPr>
            <w:r>
              <w:rPr>
                <w:sz w:val="18"/>
                <w:szCs w:val="18"/>
              </w:rPr>
              <w:t xml:space="preserve">A thing that hosts points.</w:t>
            </w:r>
          </w:p>
        </w:tc>
        <w:tc>
          <w:tcPr>
            <w:tcW w:type="dxa" w:w="3772"/>
            <w:shd w:fill="FFFFFF" w:color="auto" w:val="clear"/>
            <w:tcMar>
              <w:top w:type="dxa" w:w="120"/>
              <w:left w:type="dxa" w:w="160"/>
              <w:bottom w:type="dxa" w:w="120"/>
              <w:right w:type="dxa" w:w="160"/>
            </w:tcMar>
            <w:vAlign w:val="top"/>
          </w:tcPr>
          <w:p>
            <w:pPr>
              <w:spacing w:after="0" w:line="260"/>
            </w:pPr>
            <w:r>
              <w:rPr>
                <w:sz w:val="18"/>
                <w:szCs w:val="18"/>
              </w:rPr>
              <w:t xml:space="preserve">A field controller, a gateway, a meter.</w:t>
            </w:r>
          </w:p>
        </w:tc>
      </w:tr>
      <w:tr>
        <w:trPr>
          <w:cantSplit/>
        </w:trPr>
        <w:tc>
          <w:tcPr>
            <w:tcW w:type="dxa" w:w="1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virtual</w:t>
            </w:r>
          </w:p>
        </w:tc>
        <w:tc>
          <w:tcPr>
            <w:tcW w:type="dxa" w:w="3600"/>
            <w:shd w:fill="FAF9F6" w:color="auto" w:val="clear"/>
            <w:tcMar>
              <w:top w:type="dxa" w:w="120"/>
              <w:left w:type="dxa" w:w="160"/>
              <w:bottom w:type="dxa" w:w="120"/>
              <w:right w:type="dxa" w:w="160"/>
            </w:tcMar>
            <w:vAlign w:val="top"/>
          </w:tcPr>
          <w:p>
            <w:pPr>
              <w:spacing w:after="0" w:line="260"/>
            </w:pPr>
            <w:r>
              <w:rPr>
                <w:sz w:val="18"/>
                <w:szCs w:val="18"/>
              </w:rPr>
              <w:t xml:space="preserve">An asset existing only in software but reasoned about as one.</w:t>
            </w:r>
          </w:p>
        </w:tc>
        <w:tc>
          <w:tcPr>
            <w:tcW w:type="dxa" w:w="3772"/>
            <w:shd w:fill="FAF9F6" w:color="auto" w:val="clear"/>
            <w:tcMar>
              <w:top w:type="dxa" w:w="120"/>
              <w:left w:type="dxa" w:w="160"/>
              <w:bottom w:type="dxa" w:w="120"/>
              <w:right w:type="dxa" w:w="160"/>
            </w:tcMar>
            <w:vAlign w:val="top"/>
          </w:tcPr>
          <w:p>
            <w:pPr>
              <w:spacing w:after="0" w:line="260"/>
            </w:pPr>
            <w:r>
              <w:rPr>
                <w:sz w:val="18"/>
                <w:szCs w:val="18"/>
              </w:rPr>
              <w:t xml:space="preserve">A calculated whole-building meter.</w:t>
            </w:r>
          </w:p>
        </w:tc>
      </w:tr>
    </w:tbl>
    <w:p>
      <w:pPr>
        <w:pStyle w:val="BodyCopy"/>
      </w:pPr>
      <w:r>
        <w:t xml:space="preserve">The distinction between equipment and device is functional, not physical. A packaged unit with an integral controller is one physical object and </w:t>
      </w:r>
      <w:r>
        <w:rPr>
          <w:b/>
          <w:bCs/>
          <w:color w:val="8C6D46"/>
        </w:rPr>
        <w:t xml:space="preserve">SHOULD</w:t>
      </w:r>
      <w:r>
        <w:t xml:space="preserve"> be modeled as two entities related by </w:t>
      </w:r>
      <w:r>
        <w:rPr>
          <w:rFonts w:ascii="Consolas" w:cs="Consolas" w:eastAsia="Consolas" w:hAnsi="Consolas"/>
          <w:color w:val="1A1D21"/>
          <w:sz w:val="18"/>
          <w:szCs w:val="18"/>
          <w:shd w:fill="F2F1ED" w:color="auto" w:val="clear"/>
        </w:rPr>
        <w:t xml:space="preserve">bus:hasPart</w:t>
      </w:r>
      <w:r>
        <w:t xml:space="preserve">, because the controller will be replaced several times during the life of the unit and history should follow the right one.</w:t>
      </w:r>
    </w:p>
    <w:p>
      <w:pPr>
        <w:pStyle w:val="BodyCopy"/>
      </w:pPr>
      <w:r>
        <w:rPr>
          <w:rFonts w:ascii="Consolas" w:cs="Consolas" w:eastAsia="Consolas" w:hAnsi="Consolas"/>
          <w:color w:val="1A1D21"/>
          <w:sz w:val="18"/>
          <w:szCs w:val="18"/>
          <w:shd w:fill="F2F1ED" w:color="auto" w:val="clear"/>
        </w:rPr>
        <w:t xml:space="preserve">bus:AssetType</w:t>
      </w:r>
      <w:r>
        <w:t xml:space="preserve"> carries what is true of a product rather than of a unit: manufacturer, model, product line, and rated properties. An asset references it through </w:t>
      </w:r>
      <w:r>
        <w:rPr>
          <w:rFonts w:ascii="Consolas" w:cs="Consolas" w:eastAsia="Consolas" w:hAnsi="Consolas"/>
          <w:color w:val="1A1D21"/>
          <w:sz w:val="18"/>
          <w:szCs w:val="18"/>
          <w:shd w:fill="F2F1ED" w:color="auto" w:val="clear"/>
        </w:rPr>
        <w:t xml:space="preserve">assetTypeRef</w:t>
      </w:r>
      <w:r>
        <w:t xml:space="preserve">. Four hundred identical terminal units then carry one copy of the product facts rather than four hundred, and replacing every actuator with a new model becomes a single assertion.</w:t>
      </w:r>
    </w:p>
    <w:p>
      <w:pPr>
        <w:spacing w:after="160" w:before="0"/>
      </w:pPr>
      <w:r>
        <w:rPr>
          <w:rFonts w:ascii="Calibri" w:cs="Calibri" w:eastAsia="Calibri" w:hAnsi="Calibri"/>
          <w:b/>
          <w:bCs/>
          <w:color w:val="8C6D46"/>
          <w:spacing w:val="40"/>
          <w:sz w:val="14"/>
          <w:szCs w:val="14"/>
        </w:rPr>
        <w:t xml:space="preserve">PROVISIONAL</w:t>
      </w:r>
      <w:r>
        <w:t xml:space="preserve">   </w:t>
      </w:r>
      <w:r>
        <w:rPr>
          <w:i/>
          <w:iCs/>
          <w:color w:val="70757C"/>
          <w:sz w:val="17"/>
          <w:szCs w:val="17"/>
        </w:rPr>
        <w:t xml:space="preserve">The type and instance split is new in v0.2 and adds an indirection every reader must resolve. It is the change most likely to irritate implementers.</w:t>
      </w:r>
    </w:p>
    <w:p>
      <w:pPr>
        <w:pStyle w:val="Heading2"/>
      </w:pPr>
      <w:r>
        <w:rPr>
          <w:color w:val="8C6D46"/>
        </w:rPr>
        <w:t xml:space="preserve">8.6</w:t>
      </w:r>
      <w:r>
        <w:t xml:space="preserve">  </w:t>
      </w:r>
      <w:r>
        <w:t xml:space="preserve">Points</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2000"/>
        <w:gridCol w:w="7072"/>
      </w:tblGrid>
      <w:tr>
        <w:trPr>
          <w:cantSplit/>
          <w:tblHeader/>
        </w:trPr>
        <w:tc>
          <w:tcPr>
            <w:tcW w:type="dxa" w:w="20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Property</w:t>
            </w:r>
          </w:p>
        </w:tc>
        <w:tc>
          <w:tcPr>
            <w:tcW w:type="dxa" w:w="70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Requirement</w:t>
            </w:r>
          </w:p>
        </w:tc>
      </w:tr>
      <w:tr>
        <w:trPr>
          <w:cantSplit/>
        </w:trPr>
        <w:tc>
          <w:tcPr>
            <w:tcW w:type="dxa" w:w="20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pointKind</w:t>
            </w:r>
          </w:p>
        </w:tc>
        <w:tc>
          <w:tcPr>
            <w:tcW w:type="dxa" w:w="7072"/>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REQUIRED</w:t>
            </w:r>
            <w:r>
              <w:rPr>
                <w:sz w:val="18"/>
                <w:szCs w:val="18"/>
              </w:rPr>
              <w:t xml:space="preserve">. </w:t>
            </w:r>
            <w:r>
              <w:rPr>
                <w:rFonts w:ascii="Consolas" w:cs="Consolas" w:eastAsia="Consolas" w:hAnsi="Consolas"/>
                <w:color w:val="1A1D21"/>
                <w:sz w:val="15"/>
                <w:szCs w:val="15"/>
                <w:shd w:fill="F2F1ED" w:color="auto" w:val="clear"/>
              </w:rPr>
              <w:t xml:space="preserve">sensor</w:t>
            </w:r>
            <w:r>
              <w:rPr>
                <w:sz w:val="18"/>
                <w:szCs w:val="18"/>
              </w:rPr>
              <w:t xml:space="preserve">, </w:t>
            </w:r>
            <w:r>
              <w:rPr>
                <w:rFonts w:ascii="Consolas" w:cs="Consolas" w:eastAsia="Consolas" w:hAnsi="Consolas"/>
                <w:color w:val="1A1D21"/>
                <w:sz w:val="15"/>
                <w:szCs w:val="15"/>
                <w:shd w:fill="F2F1ED" w:color="auto" w:val="clear"/>
              </w:rPr>
              <w:t xml:space="preserve">setpoint</w:t>
            </w:r>
            <w:r>
              <w:rPr>
                <w:sz w:val="18"/>
                <w:szCs w:val="18"/>
              </w:rPr>
              <w:t xml:space="preserve">, </w:t>
            </w:r>
            <w:r>
              <w:rPr>
                <w:rFonts w:ascii="Consolas" w:cs="Consolas" w:eastAsia="Consolas" w:hAnsi="Consolas"/>
                <w:color w:val="1A1D21"/>
                <w:sz w:val="15"/>
                <w:szCs w:val="15"/>
                <w:shd w:fill="F2F1ED" w:color="auto" w:val="clear"/>
              </w:rPr>
              <w:t xml:space="preserve">command</w:t>
            </w:r>
            <w:r>
              <w:rPr>
                <w:sz w:val="18"/>
                <w:szCs w:val="18"/>
              </w:rPr>
              <w:t xml:space="preserve">, </w:t>
            </w:r>
            <w:r>
              <w:rPr>
                <w:rFonts w:ascii="Consolas" w:cs="Consolas" w:eastAsia="Consolas" w:hAnsi="Consolas"/>
                <w:color w:val="1A1D21"/>
                <w:sz w:val="15"/>
                <w:szCs w:val="15"/>
                <w:shd w:fill="F2F1ED" w:color="auto" w:val="clear"/>
              </w:rPr>
              <w:t xml:space="preserve">status</w:t>
            </w:r>
            <w:r>
              <w:rPr>
                <w:sz w:val="18"/>
                <w:szCs w:val="18"/>
              </w:rPr>
              <w:t xml:space="preserve">, </w:t>
            </w:r>
            <w:r>
              <w:rPr>
                <w:rFonts w:ascii="Consolas" w:cs="Consolas" w:eastAsia="Consolas" w:hAnsi="Consolas"/>
                <w:color w:val="1A1D21"/>
                <w:sz w:val="15"/>
                <w:szCs w:val="15"/>
                <w:shd w:fill="F2F1ED" w:color="auto" w:val="clear"/>
              </w:rPr>
              <w:t xml:space="preserve">parameter</w:t>
            </w:r>
            <w:r>
              <w:rPr>
                <w:sz w:val="18"/>
                <w:szCs w:val="18"/>
              </w:rPr>
              <w:t xml:space="preserve">, </w:t>
            </w:r>
            <w:r>
              <w:rPr>
                <w:rFonts w:ascii="Consolas" w:cs="Consolas" w:eastAsia="Consolas" w:hAnsi="Consolas"/>
                <w:color w:val="1A1D21"/>
                <w:sz w:val="15"/>
                <w:szCs w:val="15"/>
                <w:shd w:fill="F2F1ED" w:color="auto" w:val="clear"/>
              </w:rPr>
              <w:t xml:space="preserve">derived</w:t>
            </w:r>
            <w:r>
              <w:rPr>
                <w:sz w:val="18"/>
                <w:szCs w:val="18"/>
              </w:rPr>
              <w:t xml:space="preserve">, or </w:t>
            </w:r>
            <w:r>
              <w:rPr>
                <w:rFonts w:ascii="Consolas" w:cs="Consolas" w:eastAsia="Consolas" w:hAnsi="Consolas"/>
                <w:color w:val="1A1D21"/>
                <w:sz w:val="15"/>
                <w:szCs w:val="15"/>
                <w:shd w:fill="F2F1ED" w:color="auto" w:val="clear"/>
              </w:rPr>
              <w:t xml:space="preserve">meter</w:t>
            </w:r>
            <w:r>
              <w:rPr>
                <w:sz w:val="18"/>
                <w:szCs w:val="18"/>
              </w:rPr>
              <w:t xml:space="preserve">.</w:t>
            </w:r>
          </w:p>
        </w:tc>
      </w:tr>
      <w:tr>
        <w:trPr>
          <w:cantSplit/>
        </w:trPr>
        <w:tc>
          <w:tcPr>
            <w:tcW w:type="dxa" w:w="20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dataType</w:t>
            </w:r>
          </w:p>
        </w:tc>
        <w:tc>
          <w:tcPr>
            <w:tcW w:type="dxa" w:w="7072"/>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REQUIRED</w:t>
            </w:r>
            <w:r>
              <w:rPr>
                <w:sz w:val="18"/>
                <w:szCs w:val="18"/>
              </w:rPr>
              <w:t xml:space="preserve">. </w:t>
            </w:r>
            <w:r>
              <w:rPr>
                <w:rFonts w:ascii="Consolas" w:cs="Consolas" w:eastAsia="Consolas" w:hAnsi="Consolas"/>
                <w:color w:val="1A1D21"/>
                <w:sz w:val="15"/>
                <w:szCs w:val="15"/>
                <w:shd w:fill="F2F1ED" w:color="auto" w:val="clear"/>
              </w:rPr>
              <w:t xml:space="preserve">number</w:t>
            </w:r>
            <w:r>
              <w:rPr>
                <w:sz w:val="18"/>
                <w:szCs w:val="18"/>
              </w:rPr>
              <w:t xml:space="preserve">, </w:t>
            </w:r>
            <w:r>
              <w:rPr>
                <w:rFonts w:ascii="Consolas" w:cs="Consolas" w:eastAsia="Consolas" w:hAnsi="Consolas"/>
                <w:color w:val="1A1D21"/>
                <w:sz w:val="15"/>
                <w:szCs w:val="15"/>
                <w:shd w:fill="F2F1ED" w:color="auto" w:val="clear"/>
              </w:rPr>
              <w:t xml:space="preserve">boolean</w:t>
            </w:r>
            <w:r>
              <w:rPr>
                <w:sz w:val="18"/>
                <w:szCs w:val="18"/>
              </w:rPr>
              <w:t xml:space="preserve">, </w:t>
            </w:r>
            <w:r>
              <w:rPr>
                <w:rFonts w:ascii="Consolas" w:cs="Consolas" w:eastAsia="Consolas" w:hAnsi="Consolas"/>
                <w:color w:val="1A1D21"/>
                <w:sz w:val="15"/>
                <w:szCs w:val="15"/>
                <w:shd w:fill="F2F1ED" w:color="auto" w:val="clear"/>
              </w:rPr>
              <w:t xml:space="preserve">string</w:t>
            </w:r>
            <w:r>
              <w:rPr>
                <w:sz w:val="18"/>
                <w:szCs w:val="18"/>
              </w:rPr>
              <w:t xml:space="preserve">, </w:t>
            </w:r>
            <w:r>
              <w:rPr>
                <w:rFonts w:ascii="Consolas" w:cs="Consolas" w:eastAsia="Consolas" w:hAnsi="Consolas"/>
                <w:color w:val="1A1D21"/>
                <w:sz w:val="15"/>
                <w:szCs w:val="15"/>
                <w:shd w:fill="F2F1ED" w:color="auto" w:val="clear"/>
              </w:rPr>
              <w:t xml:space="preserve">enum</w:t>
            </w:r>
            <w:r>
              <w:rPr>
                <w:sz w:val="18"/>
                <w:szCs w:val="18"/>
              </w:rPr>
              <w:t xml:space="preserve">, or </w:t>
            </w:r>
            <w:r>
              <w:rPr>
                <w:rFonts w:ascii="Consolas" w:cs="Consolas" w:eastAsia="Consolas" w:hAnsi="Consolas"/>
                <w:color w:val="1A1D21"/>
                <w:sz w:val="15"/>
                <w:szCs w:val="15"/>
                <w:shd w:fill="F2F1ED" w:color="auto" w:val="clear"/>
              </w:rPr>
              <w:t xml:space="preserve">timestamp</w:t>
            </w:r>
            <w:r>
              <w:rPr>
                <w:sz w:val="18"/>
                <w:szCs w:val="18"/>
              </w:rPr>
              <w:t xml:space="preserve">.</w:t>
            </w:r>
          </w:p>
        </w:tc>
      </w:tr>
      <w:tr>
        <w:trPr>
          <w:cantSplit/>
        </w:trPr>
        <w:tc>
          <w:tcPr>
            <w:tcW w:type="dxa" w:w="20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unitCode</w:t>
            </w:r>
          </w:p>
        </w:tc>
        <w:tc>
          <w:tcPr>
            <w:tcW w:type="dxa" w:w="7072"/>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REQUIRED</w:t>
            </w:r>
            <w:r>
              <w:rPr>
                <w:sz w:val="18"/>
                <w:szCs w:val="18"/>
              </w:rPr>
              <w:t xml:space="preserve"> where </w:t>
            </w:r>
            <w:r>
              <w:rPr>
                <w:rFonts w:ascii="Consolas" w:cs="Consolas" w:eastAsia="Consolas" w:hAnsi="Consolas"/>
                <w:color w:val="1A1D21"/>
                <w:sz w:val="15"/>
                <w:szCs w:val="15"/>
                <w:shd w:fill="F2F1ED" w:color="auto" w:val="clear"/>
              </w:rPr>
              <w:t xml:space="preserve">dataType</w:t>
            </w:r>
            <w:r>
              <w:rPr>
                <w:sz w:val="18"/>
                <w:szCs w:val="18"/>
              </w:rPr>
              <w:t xml:space="preserve"> is </w:t>
            </w:r>
            <w:r>
              <w:rPr>
                <w:rFonts w:ascii="Consolas" w:cs="Consolas" w:eastAsia="Consolas" w:hAnsi="Consolas"/>
                <w:color w:val="1A1D21"/>
                <w:sz w:val="15"/>
                <w:szCs w:val="15"/>
                <w:shd w:fill="F2F1ED" w:color="auto" w:val="clear"/>
              </w:rPr>
              <w:t xml:space="preserve">number</w:t>
            </w:r>
            <w:r>
              <w:rPr>
                <w:sz w:val="18"/>
                <w:szCs w:val="18"/>
              </w:rPr>
              <w:t xml:space="preserve"> and the quantity is dimensional. Annex C.</w:t>
            </w:r>
          </w:p>
        </w:tc>
      </w:tr>
      <w:tr>
        <w:trPr>
          <w:cantSplit/>
        </w:trPr>
        <w:tc>
          <w:tcPr>
            <w:tcW w:type="dxa" w:w="20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quantityKind</w:t>
            </w:r>
          </w:p>
        </w:tc>
        <w:tc>
          <w:tcPr>
            <w:tcW w:type="dxa" w:w="7072"/>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REQUIRED</w:t>
            </w:r>
            <w:r>
              <w:rPr>
                <w:sz w:val="18"/>
                <w:szCs w:val="18"/>
              </w:rPr>
              <w:t xml:space="preserve"> for numeric points. A reference to a </w:t>
            </w:r>
            <w:r>
              <w:rPr>
                <w:rFonts w:ascii="Consolas" w:cs="Consolas" w:eastAsia="Consolas" w:hAnsi="Consolas"/>
                <w:color w:val="1A1D21"/>
                <w:sz w:val="15"/>
                <w:szCs w:val="15"/>
                <w:shd w:fill="F2F1ED" w:color="auto" w:val="clear"/>
              </w:rPr>
              <w:t xml:space="preserve">bus:PropertyDefinition</w:t>
            </w:r>
            <w:r>
              <w:rPr>
                <w:sz w:val="18"/>
                <w:szCs w:val="18"/>
              </w:rPr>
              <w:t xml:space="preserve">. Its unit code </w:t>
            </w:r>
            <w:r>
              <w:rPr>
                <w:b/>
                <w:bCs/>
                <w:color w:val="8C6D46"/>
                <w:sz w:val="18"/>
                <w:szCs w:val="18"/>
              </w:rPr>
              <w:t xml:space="preserve">MUST</w:t>
            </w:r>
            <w:r>
              <w:rPr>
                <w:sz w:val="18"/>
                <w:szCs w:val="18"/>
              </w:rPr>
              <w:t xml:space="preserve"> agree with the point’s unit code.</w:t>
            </w:r>
          </w:p>
        </w:tc>
      </w:tr>
      <w:tr>
        <w:trPr>
          <w:cantSplit/>
        </w:trPr>
        <w:tc>
          <w:tcPr>
            <w:tcW w:type="dxa" w:w="20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range</w:t>
            </w:r>
            <w:r>
              <w:rPr>
                <w:sz w:val="18"/>
                <w:szCs w:val="18"/>
              </w:rPr>
              <w:t xml:space="preserve">, </w:t>
            </w:r>
            <w:r>
              <w:rPr>
                <w:rFonts w:ascii="Consolas" w:cs="Consolas" w:eastAsia="Consolas" w:hAnsi="Consolas"/>
                <w:color w:val="1A1D21"/>
                <w:sz w:val="15"/>
                <w:szCs w:val="15"/>
                <w:shd w:fill="F2F1ED" w:color="auto" w:val="clear"/>
              </w:rPr>
              <w:t xml:space="preserve">resolution</w:t>
            </w:r>
          </w:p>
        </w:tc>
        <w:tc>
          <w:tcPr>
            <w:tcW w:type="dxa" w:w="7072"/>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RECOMMENDED</w:t>
            </w:r>
            <w:r>
              <w:rPr>
                <w:sz w:val="18"/>
                <w:szCs w:val="18"/>
              </w:rPr>
              <w:t xml:space="preserve">. The operating envelope, not the datatype limits.</w:t>
            </w:r>
          </w:p>
        </w:tc>
      </w:tr>
      <w:tr>
        <w:trPr>
          <w:cantSplit/>
        </w:trPr>
        <w:tc>
          <w:tcPr>
            <w:tcW w:type="dxa" w:w="20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enumeration</w:t>
            </w:r>
          </w:p>
        </w:tc>
        <w:tc>
          <w:tcPr>
            <w:tcW w:type="dxa" w:w="7072"/>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REQUIRED</w:t>
            </w:r>
            <w:r>
              <w:rPr>
                <w:sz w:val="18"/>
                <w:szCs w:val="18"/>
              </w:rPr>
              <w:t xml:space="preserve"> where </w:t>
            </w:r>
            <w:r>
              <w:rPr>
                <w:rFonts w:ascii="Consolas" w:cs="Consolas" w:eastAsia="Consolas" w:hAnsi="Consolas"/>
                <w:color w:val="1A1D21"/>
                <w:sz w:val="15"/>
                <w:szCs w:val="15"/>
                <w:shd w:fill="F2F1ED" w:color="auto" w:val="clear"/>
              </w:rPr>
              <w:t xml:space="preserve">dataType</w:t>
            </w:r>
            <w:r>
              <w:rPr>
                <w:sz w:val="18"/>
                <w:szCs w:val="18"/>
              </w:rPr>
              <w:t xml:space="preserve"> is </w:t>
            </w:r>
            <w:r>
              <w:rPr>
                <w:rFonts w:ascii="Consolas" w:cs="Consolas" w:eastAsia="Consolas" w:hAnsi="Consolas"/>
                <w:color w:val="1A1D21"/>
                <w:sz w:val="15"/>
                <w:szCs w:val="15"/>
                <w:shd w:fill="F2F1ED" w:color="auto" w:val="clear"/>
              </w:rPr>
              <w:t xml:space="preserve">enum</w:t>
            </w:r>
            <w:r>
              <w:rPr>
                <w:sz w:val="18"/>
                <w:szCs w:val="18"/>
              </w:rPr>
              <w:t xml:space="preserve">.</w:t>
            </w:r>
          </w:p>
        </w:tc>
      </w:tr>
      <w:tr>
        <w:trPr>
          <w:cantSplit/>
        </w:trPr>
        <w:tc>
          <w:tcPr>
            <w:tcW w:type="dxa" w:w="20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writable</w:t>
            </w:r>
          </w:p>
        </w:tc>
        <w:tc>
          <w:tcPr>
            <w:tcW w:type="dxa" w:w="7072"/>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REQUIRED</w:t>
            </w:r>
            <w:r>
              <w:rPr>
                <w:sz w:val="18"/>
                <w:szCs w:val="18"/>
              </w:rPr>
              <w:t xml:space="preserve"> where the point is </w:t>
            </w:r>
            <w:r>
              <w:rPr>
                <w:rFonts w:ascii="Consolas" w:cs="Consolas" w:eastAsia="Consolas" w:hAnsi="Consolas"/>
                <w:color w:val="1A1D21"/>
                <w:sz w:val="15"/>
                <w:szCs w:val="15"/>
                <w:shd w:fill="F2F1ED" w:color="auto" w:val="clear"/>
              </w:rPr>
              <w:t xml:space="preserve">command</w:t>
            </w:r>
            <w:r>
              <w:rPr>
                <w:sz w:val="18"/>
                <w:szCs w:val="18"/>
              </w:rPr>
              <w:t xml:space="preserve"> or </w:t>
            </w:r>
            <w:r>
              <w:rPr>
                <w:rFonts w:ascii="Consolas" w:cs="Consolas" w:eastAsia="Consolas" w:hAnsi="Consolas"/>
                <w:color w:val="1A1D21"/>
                <w:sz w:val="15"/>
                <w:szCs w:val="15"/>
                <w:shd w:fill="F2F1ED" w:color="auto" w:val="clear"/>
              </w:rPr>
              <w:t xml:space="preserve">setpoint</w:t>
            </w:r>
            <w:r>
              <w:rPr>
                <w:sz w:val="18"/>
                <w:szCs w:val="18"/>
              </w:rPr>
              <w:t xml:space="preserve">, and </w:t>
            </w:r>
            <w:r>
              <w:rPr>
                <w:b/>
                <w:bCs/>
                <w:color w:val="8C6D46"/>
                <w:sz w:val="18"/>
                <w:szCs w:val="18"/>
              </w:rPr>
              <w:t xml:space="preserve">MUST</w:t>
            </w:r>
            <w:r>
              <w:rPr>
                <w:sz w:val="18"/>
                <w:szCs w:val="18"/>
              </w:rPr>
              <w:t xml:space="preserve"> be </w:t>
            </w:r>
            <w:r>
              <w:rPr>
                <w:rFonts w:ascii="Consolas" w:cs="Consolas" w:eastAsia="Consolas" w:hAnsi="Consolas"/>
                <w:color w:val="1A1D21"/>
                <w:sz w:val="15"/>
                <w:szCs w:val="15"/>
                <w:shd w:fill="F2F1ED" w:color="auto" w:val="clear"/>
              </w:rPr>
              <w:t xml:space="preserve">true</w:t>
            </w:r>
            <w:r>
              <w:rPr>
                <w:sz w:val="18"/>
                <w:szCs w:val="18"/>
              </w:rPr>
              <w:t xml:space="preserve"> for those kinds.</w:t>
            </w:r>
          </w:p>
        </w:tc>
      </w:tr>
      <w:tr>
        <w:trPr>
          <w:cantSplit/>
        </w:trPr>
        <w:tc>
          <w:tcPr>
            <w:tcW w:type="dxa" w:w="20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commandPriority</w:t>
            </w:r>
          </w:p>
        </w:tc>
        <w:tc>
          <w:tcPr>
            <w:tcW w:type="dxa" w:w="7072"/>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RECOMMENDED</w:t>
            </w:r>
            <w:r>
              <w:rPr>
                <w:sz w:val="18"/>
                <w:szCs w:val="18"/>
              </w:rPr>
              <w:t xml:space="preserve"> where the point is written through a prioritized mechanism. Configuration only, never live state.</w:t>
            </w:r>
          </w:p>
        </w:tc>
      </w:tr>
      <w:tr>
        <w:trPr>
          <w:cantSplit/>
        </w:trPr>
        <w:tc>
          <w:tcPr>
            <w:tcW w:type="dxa" w:w="20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binding</w:t>
            </w:r>
          </w:p>
        </w:tc>
        <w:tc>
          <w:tcPr>
            <w:tcW w:type="dxa" w:w="7072"/>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REQUIRED</w:t>
            </w:r>
            <w:r>
              <w:rPr>
                <w:sz w:val="18"/>
                <w:szCs w:val="18"/>
              </w:rPr>
              <w:t xml:space="preserve"> where the point is acquired from a live system. 8.7.</w:t>
            </w:r>
          </w:p>
        </w:tc>
      </w:tr>
      <w:tr>
        <w:trPr>
          <w:cantSplit/>
        </w:trPr>
        <w:tc>
          <w:tcPr>
            <w:tcW w:type="dxa" w:w="20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history</w:t>
            </w:r>
          </w:p>
        </w:tc>
        <w:tc>
          <w:tcPr>
            <w:tcW w:type="dxa" w:w="7072"/>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RECOMMENDED</w:t>
            </w:r>
            <w:r>
              <w:rPr>
                <w:sz w:val="18"/>
                <w:szCs w:val="18"/>
              </w:rPr>
              <w:t xml:space="preserve">. Declares whether durable history exists and over what extent. 8.8.</w:t>
            </w:r>
          </w:p>
        </w:tc>
      </w:tr>
    </w:tbl>
    <w:p>
      <w:pPr>
        <w:pStyle w:val="BodyCopy"/>
      </w:pPr>
      <w:r>
        <w:rPr>
          <w:rFonts w:ascii="Consolas" w:cs="Consolas" w:eastAsia="Consolas" w:hAnsi="Consolas"/>
          <w:color w:val="1A1D21"/>
          <w:sz w:val="18"/>
          <w:szCs w:val="18"/>
          <w:shd w:fill="F2F1ED" w:color="auto" w:val="clear"/>
        </w:rPr>
        <w:t xml:space="preserve">pointKind</w:t>
      </w:r>
      <w:r>
        <w:t xml:space="preserve"> is the durable distinction between an observation, an instruction, a state, and a configured value. It is separate from </w:t>
      </w:r>
      <w:r>
        <w:rPr>
          <w:rFonts w:ascii="Consolas" w:cs="Consolas" w:eastAsia="Consolas" w:hAnsi="Consolas"/>
          <w:color w:val="1A1D21"/>
          <w:sz w:val="18"/>
          <w:szCs w:val="18"/>
          <w:shd w:fill="F2F1ED" w:color="auto" w:val="clear"/>
        </w:rPr>
        <w:t xml:space="preserve">dataType</w:t>
      </w:r>
      <w:r>
        <w:t xml:space="preserve"> because the two are independent, and collapsing them is how systems lose the ability to tell a setpoint from a reading.</w:t>
      </w:r>
    </w:p>
    <w:p>
      <w:pPr>
        <w:pStyle w:val="NoteCopy"/>
      </w:pPr>
      <w:r>
        <w:rPr>
          <w:b/>
          <w:bCs/>
          <w:color w:val="70757C"/>
          <w:sz w:val="18"/>
          <w:szCs w:val="18"/>
        </w:rPr>
        <w:t xml:space="preserve">NOTE </w:t>
      </w:r>
      <w:r>
        <w:rPr>
          <w:color w:val="70757C"/>
          <w:sz w:val="18"/>
          <w:szCs w:val="18"/>
        </w:rPr>
        <w:t xml:space="preserve">A writable point is not necessarily a command. A </w:t>
      </w:r>
      <w:r>
        <w:rPr>
          <w:rFonts w:ascii="Consolas" w:cs="Consolas" w:eastAsia="Consolas" w:hAnsi="Consolas"/>
          <w:color w:val="1A1D21"/>
          <w:sz w:val="15"/>
          <w:szCs w:val="15"/>
          <w:shd w:fill="F2F1ED" w:color="auto" w:val="clear"/>
        </w:rPr>
        <w:t xml:space="preserve">parameter</w:t>
      </w:r>
      <w:r>
        <w:rPr>
          <w:color w:val="70757C"/>
          <w:sz w:val="18"/>
          <w:szCs w:val="18"/>
        </w:rPr>
        <w:t xml:space="preserve"> may be writable and is not an instruction to the plant.</w:t>
      </w:r>
    </w:p>
    <w:p>
      <w:pPr>
        <w:pStyle w:val="Heading2"/>
      </w:pPr>
      <w:r>
        <w:rPr>
          <w:color w:val="8C6D46"/>
        </w:rPr>
        <w:t xml:space="preserve">8.7</w:t>
      </w:r>
      <w:r>
        <w:t xml:space="preserve">  </w:t>
      </w:r>
      <w:r>
        <w:t xml:space="preserve">Telemetry binding</w:t>
      </w:r>
    </w:p>
    <w:p>
      <w:pPr>
        <w:pStyle w:val="BodyCopy"/>
      </w:pPr>
      <w:r>
        <w:t xml:space="preserve">A </w:t>
      </w:r>
      <w:r>
        <w:rPr>
          <w:rFonts w:ascii="Consolas" w:cs="Consolas" w:eastAsia="Consolas" w:hAnsi="Consolas"/>
          <w:color w:val="1A1D21"/>
          <w:sz w:val="18"/>
          <w:szCs w:val="18"/>
          <w:shd w:fill="F2F1ED" w:color="auto" w:val="clear"/>
        </w:rPr>
        <w:t xml:space="preserve">binding</w:t>
      </w:r>
      <w:r>
        <w:t xml:space="preserve"> on a point records how it is reached: </w:t>
      </w:r>
      <w:r>
        <w:rPr>
          <w:rFonts w:ascii="Consolas" w:cs="Consolas" w:eastAsia="Consolas" w:hAnsi="Consolas"/>
          <w:color w:val="1A1D21"/>
          <w:sz w:val="18"/>
          <w:szCs w:val="18"/>
          <w:shd w:fill="F2F1ED" w:color="auto" w:val="clear"/>
        </w:rPr>
        <w:t xml:space="preserve">protocol</w:t>
      </w:r>
      <w:r>
        <w:t xml:space="preserve">, </w:t>
      </w:r>
      <w:r>
        <w:rPr>
          <w:rFonts w:ascii="Consolas" w:cs="Consolas" w:eastAsia="Consolas" w:hAnsi="Consolas"/>
          <w:color w:val="1A1D21"/>
          <w:sz w:val="18"/>
          <w:szCs w:val="18"/>
          <w:shd w:fill="F2F1ED" w:color="auto" w:val="clear"/>
        </w:rPr>
        <w:t xml:space="preserve">address</w:t>
      </w:r>
      <w:r>
        <w:t xml:space="preserve">, an </w:t>
      </w:r>
      <w:r>
        <w:rPr>
          <w:b/>
          <w:bCs/>
          <w:color w:val="8C6D46"/>
        </w:rPr>
        <w:t xml:space="preserve">OPTIONAL</w:t>
      </w:r>
      <w:r>
        <w:t xml:space="preserve"> </w:t>
      </w:r>
      <w:r>
        <w:rPr>
          <w:rFonts w:ascii="Consolas" w:cs="Consolas" w:eastAsia="Consolas" w:hAnsi="Consolas"/>
          <w:color w:val="1A1D21"/>
          <w:sz w:val="18"/>
          <w:szCs w:val="18"/>
          <w:shd w:fill="F2F1ED" w:color="auto" w:val="clear"/>
        </w:rPr>
        <w:t xml:space="preserve">deviceRef</w:t>
      </w:r>
      <w:r>
        <w:t xml:space="preserve">, </w:t>
      </w:r>
      <w:r>
        <w:rPr>
          <w:rFonts w:ascii="Consolas" w:cs="Consolas" w:eastAsia="Consolas" w:hAnsi="Consolas"/>
          <w:color w:val="1A1D21"/>
          <w:sz w:val="18"/>
          <w:szCs w:val="18"/>
          <w:shd w:fill="F2F1ED" w:color="auto" w:val="clear"/>
        </w:rPr>
        <w:t xml:space="preserve">network</w:t>
      </w:r>
      <w:r>
        <w:t xml:space="preserve">, and </w:t>
      </w:r>
      <w:r>
        <w:rPr>
          <w:rFonts w:ascii="Consolas" w:cs="Consolas" w:eastAsia="Consolas" w:hAnsi="Consolas"/>
          <w:color w:val="1A1D21"/>
          <w:sz w:val="18"/>
          <w:szCs w:val="18"/>
          <w:shd w:fill="F2F1ED" w:color="auto" w:val="clear"/>
        </w:rPr>
        <w:t xml:space="preserve">parameters</w:t>
      </w:r>
      <w:r>
        <w:t xml:space="preserve">.</w:t>
      </w:r>
    </w:p>
    <w:tbl>
      <w:tblPr>
        <w:tblW w:type="dxa" w:w="9072"/>
        <w:tblBorders>
          <w:top w:val="none" w:color="FFFFFF" w:sz="0"/>
          <w:left w:val="single" w:color="D9D4C9" w:sz="12"/>
          <w:bottom w:val="none" w:color="FFFFFF" w:sz="0"/>
          <w:right w:val="none" w:color="FFFFFF" w:sz="0"/>
          <w:insideH w:val="none" w:color="FFFFFF" w:sz="0"/>
          <w:insideV w:val="none" w:color="FFFFFF" w:sz="0"/>
        </w:tblBorders>
        <w:tblLayout w:type="fixed"/>
      </w:tblPr>
      <w:tblGrid>
        <w:gridCol w:w="9072"/>
      </w:tblGrid>
      <w:tr>
        <w:trPr>
          <w:cantSplit w:val="false"/>
        </w:trPr>
        <w:tc>
          <w:tcPr>
            <w:tcW w:type="dxa" w:w="9072"/>
            <w:shd w:fill="F2F1ED" w:color="auto" w:val="clear"/>
            <w:tcMar>
              <w:top w:type="dxa" w:w="160"/>
              <w:left w:type="dxa" w:w="220"/>
              <w:bottom w:type="dxa" w:w="160"/>
              <w:right w:type="dxa" w:w="200"/>
            </w:tcMar>
          </w:tcPr>
          <w:p>
            <w:pPr>
              <w:spacing w:after="20" w:line="240"/>
            </w:pPr>
            <w:r>
              <w:rPr>
                <w:rFonts w:ascii="Consolas" w:cs="Consolas" w:eastAsia="Consolas" w:hAnsi="Consolas"/>
                <w:color w:val="1A1D21"/>
                <w:sz w:val="16"/>
                <w:szCs w:val="16"/>
              </w:rPr>
              <w:t xml:space="preserve">"binding": {</w:t>
            </w:r>
          </w:p>
          <w:p>
            <w:pPr>
              <w:spacing w:after="20" w:line="240"/>
            </w:pPr>
            <w:r>
              <w:rPr>
                <w:rFonts w:ascii="Consolas" w:cs="Consolas" w:eastAsia="Consolas" w:hAnsi="Consolas"/>
                <w:color w:val="1A1D21"/>
                <w:sz w:val="16"/>
                <w:szCs w:val="16"/>
              </w:rPr>
              <w:t xml:space="preserve">  "protocol": "bacnet",</w:t>
            </w:r>
          </w:p>
          <w:p>
            <w:pPr>
              <w:spacing w:after="20" w:line="240"/>
            </w:pPr>
            <w:r>
              <w:rPr>
                <w:rFonts w:ascii="Consolas" w:cs="Consolas" w:eastAsia="Consolas" w:hAnsi="Consolas"/>
                <w:color w:val="1A1D21"/>
                <w:sz w:val="16"/>
                <w:szCs w:val="16"/>
              </w:rPr>
              <w:t xml:space="preserve">  "address": "analog-input,3",</w:t>
            </w:r>
          </w:p>
          <w:p>
            <w:pPr>
              <w:spacing w:after="20" w:line="240"/>
            </w:pPr>
            <w:r>
              <w:rPr>
                <w:rFonts w:ascii="Consolas" w:cs="Consolas" w:eastAsia="Consolas" w:hAnsi="Consolas"/>
                <w:color w:val="1A1D21"/>
                <w:sz w:val="16"/>
                <w:szCs w:val="16"/>
              </w:rPr>
              <w:t xml:space="preserve">  "deviceRef": "urn:uuid:...053",</w:t>
            </w:r>
          </w:p>
          <w:p>
            <w:pPr>
              <w:spacing w:after="20" w:line="240"/>
            </w:pPr>
            <w:r>
              <w:rPr>
                <w:rFonts w:ascii="Consolas" w:cs="Consolas" w:eastAsia="Consolas" w:hAnsi="Consolas"/>
                <w:color w:val="1A1D21"/>
                <w:sz w:val="16"/>
                <w:szCs w:val="16"/>
              </w:rPr>
              <w:t xml:space="preserve">  "network": "BACnet/IP 2001",</w:t>
            </w:r>
          </w:p>
          <w:p>
            <w:pPr>
              <w:spacing w:after="20" w:line="240"/>
            </w:pPr>
            <w:r>
              <w:rPr>
                <w:rFonts w:ascii="Consolas" w:cs="Consolas" w:eastAsia="Consolas" w:hAnsi="Consolas"/>
                <w:color w:val="1A1D21"/>
                <w:sz w:val="16"/>
                <w:szCs w:val="16"/>
              </w:rPr>
              <w:t xml:space="preserve">  "parameters": { "objectName": "AHU1_SAT", "covIncrement": 0.2 }</w:t>
            </w:r>
          </w:p>
          <w:p>
            <w:pPr>
              <w:spacing w:after="0" w:line="240"/>
            </w:pPr>
            <w:r>
              <w:rPr>
                <w:rFonts w:ascii="Consolas" w:cs="Consolas" w:eastAsia="Consolas" w:hAnsi="Consolas"/>
                <w:color w:val="1A1D21"/>
                <w:sz w:val="16"/>
                <w:szCs w:val="16"/>
              </w:rPr>
              <w:t xml:space="preserve">}</w:t>
            </w:r>
          </w:p>
        </w:tc>
      </w:tr>
    </w:tbl>
    <w:p>
      <w:pPr>
        <w:pStyle w:val="BodyCopy"/>
      </w:pPr>
      <w:r>
        <w:rPr>
          <w:rFonts w:ascii="Consolas" w:cs="Consolas" w:eastAsia="Consolas" w:hAnsi="Consolas"/>
          <w:color w:val="1A1D21"/>
          <w:sz w:val="18"/>
          <w:szCs w:val="18"/>
          <w:shd w:fill="F2F1ED" w:color="auto" w:val="clear"/>
        </w:rPr>
        <w:t xml:space="preserve">address</w:t>
      </w:r>
      <w:r>
        <w:t xml:space="preserve"> and </w:t>
      </w:r>
      <w:r>
        <w:rPr>
          <w:rFonts w:ascii="Consolas" w:cs="Consolas" w:eastAsia="Consolas" w:hAnsi="Consolas"/>
          <w:color w:val="1A1D21"/>
          <w:sz w:val="18"/>
          <w:szCs w:val="18"/>
          <w:shd w:fill="F2F1ED" w:color="auto" w:val="clear"/>
        </w:rPr>
        <w:t xml:space="preserve">parameters</w:t>
      </w:r>
      <w:r>
        <w:t xml:space="preserve"> are opaque to this standard. An importer </w:t>
      </w:r>
      <w:r>
        <w:rPr>
          <w:b/>
          <w:bCs/>
          <w:color w:val="8C6D46"/>
        </w:rPr>
        <w:t xml:space="preserve">MUST</w:t>
      </w:r>
      <w:r>
        <w:t xml:space="preserve"> preserve them verbatim (test RT-9) and </w:t>
      </w:r>
      <w:r>
        <w:rPr>
          <w:b/>
          <w:bCs/>
          <w:color w:val="8C6D46"/>
        </w:rPr>
        <w:t xml:space="preserve">MUST NOT</w:t>
      </w:r>
      <w:r>
        <w:t xml:space="preserve"> normalize them, even where it recognizes the protocol and believes it knows a better form.</w:t>
      </w:r>
    </w:p>
    <w:p>
      <w:pPr>
        <w:pStyle w:val="BodyCopy"/>
      </w:pPr>
      <w:r>
        <w:t xml:space="preserve">This is the least glamorous part of the model and among the most valuable. A migration preserving every semantic relationship but losing the addresses obliges an integrator to rediscover and rebind tens of thousands of points by hand.</w:t>
      </w:r>
    </w:p>
    <w:p>
      <w:pPr>
        <w:pStyle w:val="NoteCopy"/>
      </w:pPr>
      <w:r>
        <w:rPr>
          <w:b/>
          <w:bCs/>
          <w:color w:val="70757C"/>
          <w:sz w:val="18"/>
          <w:szCs w:val="18"/>
        </w:rPr>
        <w:t xml:space="preserve">NOTE </w:t>
      </w:r>
      <w:r>
        <w:rPr>
          <w:color w:val="70757C"/>
          <w:sz w:val="18"/>
          <w:szCs w:val="18"/>
        </w:rPr>
        <w:t xml:space="preserve">A telemetry binding is not a presentation binding. The two share a word and nothing else: one says how a value is acquired, the other says what a value drives on a page.</w:t>
      </w:r>
    </w:p>
    <w:p>
      <w:pPr>
        <w:pStyle w:val="Heading2"/>
      </w:pPr>
      <w:r>
        <w:rPr>
          <w:color w:val="8C6D46"/>
        </w:rPr>
        <w:t xml:space="preserve">8.8</w:t>
      </w:r>
      <w:r>
        <w:t xml:space="preserve">  </w:t>
      </w:r>
      <w:r>
        <w:t xml:space="preserve">History at the interface</w:t>
      </w:r>
    </w:p>
    <w:p>
      <w:pPr>
        <w:pStyle w:val="BodyCopy"/>
      </w:pPr>
      <w:r>
        <w:t xml:space="preserve">v0.2 does not carry time-series payloads. It carries the declaration that history exists, which is what a receiving system needs to know what it is missing. An exporter holding history and not including it </w:t>
      </w:r>
      <w:r>
        <w:rPr>
          <w:b/>
          <w:bCs/>
          <w:color w:val="8C6D46"/>
        </w:rPr>
        <w:t xml:space="preserve">MUST</w:t>
      </w:r>
      <w:r>
        <w:t xml:space="preserve"> declare the </w:t>
      </w:r>
      <w:r>
        <w:rPr>
          <w:rFonts w:ascii="Consolas" w:cs="Consolas" w:eastAsia="Consolas" w:hAnsi="Consolas"/>
          <w:color w:val="1A1D21"/>
          <w:sz w:val="18"/>
          <w:szCs w:val="18"/>
          <w:shd w:fill="F2F1ED" w:color="auto" w:val="clear"/>
        </w:rPr>
        <w:t xml:space="preserve">timeSeries</w:t>
      </w:r>
      <w:r>
        <w:t xml:space="preserve"> domain as partial or absent (16.6).</w:t>
      </w:r>
    </w:p>
    <w:p>
      <w:pPr>
        <w:pStyle w:val="Heading2"/>
      </w:pPr>
      <w:r>
        <w:rPr>
          <w:color w:val="8C6D46"/>
        </w:rPr>
        <w:t xml:space="preserve">8.9</w:t>
      </w:r>
      <w:r>
        <w:t xml:space="preserve">  </w:t>
      </w:r>
      <w:r>
        <w:t xml:space="preserve">Knowledge</w:t>
      </w:r>
    </w:p>
    <w:p>
      <w:pPr>
        <w:pStyle w:val="BodyCopy"/>
      </w:pPr>
      <w:r>
        <w:rPr>
          <w:rFonts w:ascii="Consolas" w:cs="Consolas" w:eastAsia="Consolas" w:hAnsi="Consolas"/>
          <w:color w:val="1A1D21"/>
          <w:sz w:val="18"/>
          <w:szCs w:val="18"/>
          <w:shd w:fill="F2F1ED" w:color="auto" w:val="clear"/>
        </w:rPr>
        <w:t xml:space="preserve">bus:KnowledgeNote</w:t>
      </w:r>
      <w:r>
        <w:t xml:space="preserve"> carries a </w:t>
      </w:r>
      <w:r>
        <w:rPr>
          <w:rFonts w:ascii="Consolas" w:cs="Consolas" w:eastAsia="Consolas" w:hAnsi="Consolas"/>
          <w:color w:val="1A1D21"/>
          <w:sz w:val="18"/>
          <w:szCs w:val="18"/>
          <w:shd w:fill="F2F1ED" w:color="auto" w:val="clear"/>
        </w:rPr>
        <w:t xml:space="preserve">noteKind</w:t>
      </w:r>
      <w:r>
        <w:t xml:space="preserve">, a </w:t>
      </w:r>
      <w:r>
        <w:rPr>
          <w:rFonts w:ascii="Consolas" w:cs="Consolas" w:eastAsia="Consolas" w:hAnsi="Consolas"/>
          <w:color w:val="1A1D21"/>
          <w:sz w:val="18"/>
          <w:szCs w:val="18"/>
          <w:shd w:fill="F2F1ED" w:color="auto" w:val="clear"/>
        </w:rPr>
        <w:t xml:space="preserve">body</w:t>
      </w:r>
      <w:r>
        <w:t xml:space="preserve"> of free text, an </w:t>
      </w:r>
      <w:r>
        <w:rPr>
          <w:b/>
          <w:bCs/>
          <w:color w:val="8C6D46"/>
        </w:rPr>
        <w:t xml:space="preserve">OPTIONAL</w:t>
      </w:r>
      <w:r>
        <w:t xml:space="preserve"> </w:t>
      </w:r>
      <w:r>
        <w:rPr>
          <w:rFonts w:ascii="Consolas" w:cs="Consolas" w:eastAsia="Consolas" w:hAnsi="Consolas"/>
          <w:color w:val="1A1D21"/>
          <w:sz w:val="18"/>
          <w:szCs w:val="18"/>
          <w:shd w:fill="F2F1ED" w:color="auto" w:val="clear"/>
        </w:rPr>
        <w:t xml:space="preserve">observedAt</w:t>
      </w:r>
      <w:r>
        <w:t xml:space="preserve">, an </w:t>
      </w:r>
      <w:r>
        <w:rPr>
          <w:b/>
          <w:bCs/>
          <w:color w:val="8C6D46"/>
        </w:rPr>
        <w:t xml:space="preserve">OPTIONAL</w:t>
      </w:r>
      <w:r>
        <w:t xml:space="preserve"> </w:t>
      </w:r>
      <w:r>
        <w:rPr>
          <w:rFonts w:ascii="Consolas" w:cs="Consolas" w:eastAsia="Consolas" w:hAnsi="Consolas"/>
          <w:color w:val="1A1D21"/>
          <w:sz w:val="18"/>
          <w:szCs w:val="18"/>
          <w:shd w:fill="F2F1ED" w:color="auto" w:val="clear"/>
        </w:rPr>
        <w:t xml:space="preserve">reviewState</w:t>
      </w:r>
      <w:r>
        <w:t xml:space="preserve">, and provenance. It is attached by </w:t>
      </w:r>
      <w:r>
        <w:rPr>
          <w:rFonts w:ascii="Consolas" w:cs="Consolas" w:eastAsia="Consolas" w:hAnsi="Consolas"/>
          <w:color w:val="1A1D21"/>
          <w:sz w:val="18"/>
          <w:szCs w:val="18"/>
          <w:shd w:fill="F2F1ED" w:color="auto" w:val="clear"/>
        </w:rPr>
        <w:t xml:space="preserve">bus:explains</w:t>
      </w:r>
      <w:r>
        <w:t xml:space="preserve">, </w:t>
      </w:r>
      <w:r>
        <w:rPr>
          <w:rFonts w:ascii="Consolas" w:cs="Consolas" w:eastAsia="Consolas" w:hAnsi="Consolas"/>
          <w:color w:val="1A1D21"/>
          <w:sz w:val="18"/>
          <w:szCs w:val="18"/>
          <w:shd w:fill="F2F1ED" w:color="auto" w:val="clear"/>
        </w:rPr>
        <w:t xml:space="preserve">bus:supports</w:t>
      </w:r>
      <w:r>
        <w:t xml:space="preserve">, </w:t>
      </w:r>
      <w:r>
        <w:rPr>
          <w:rFonts w:ascii="Consolas" w:cs="Consolas" w:eastAsia="Consolas" w:hAnsi="Consolas"/>
          <w:color w:val="1A1D21"/>
          <w:sz w:val="18"/>
          <w:szCs w:val="18"/>
          <w:shd w:fill="F2F1ED" w:color="auto" w:val="clear"/>
        </w:rPr>
        <w:t xml:space="preserve">bus:justifies</w:t>
      </w:r>
      <w:r>
        <w:t xml:space="preserve">, or the generic </w:t>
      </w:r>
      <w:r>
        <w:rPr>
          <w:rFonts w:ascii="Consolas" w:cs="Consolas" w:eastAsia="Consolas" w:hAnsi="Consolas"/>
          <w:color w:val="1A1D21"/>
          <w:sz w:val="18"/>
          <w:szCs w:val="18"/>
          <w:shd w:fill="F2F1ED" w:color="auto" w:val="clear"/>
        </w:rPr>
        <w:t xml:space="preserve">bus:appliesTo</w:t>
      </w:r>
      <w:r>
        <w:t xml:space="preserve">.</w:t>
      </w:r>
    </w:p>
    <w:tbl>
      <w:tblPr>
        <w:tblW w:type="dxa" w:w="9072"/>
        <w:tblBorders>
          <w:top w:val="none" w:color="FFFFFF" w:sz="0"/>
          <w:left w:val="single" w:color="8C6D46" w:sz="24"/>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F5F3EE" w:color="auto" w:val="clear"/>
            <w:tcMar>
              <w:top w:type="dxa" w:w="200"/>
              <w:left w:type="dxa" w:w="260"/>
              <w:bottom w:type="dxa" w:w="200"/>
              <w:right w:type="dxa" w:w="260"/>
            </w:tcMar>
          </w:tcPr>
          <w:p>
            <w:pPr>
              <w:spacing w:after="80"/>
            </w:pPr>
            <w:r>
              <w:rPr>
                <w:rFonts w:ascii="Georgia" w:cs="Georgia" w:eastAsia="Georgia" w:hAnsi="Georgia"/>
                <w:b/>
                <w:bCs/>
                <w:color w:val="1A1D21"/>
                <w:sz w:val="22"/>
                <w:szCs w:val="22"/>
              </w:rPr>
              <w:t xml:space="preserve">Requirement 8.9-1</w:t>
            </w:r>
          </w:p>
          <w:p>
            <w:pPr>
              <w:spacing w:after="0" w:line="280"/>
            </w:pPr>
            <w:r>
              <w:rPr>
                <w:sz w:val="20"/>
                <w:szCs w:val="20"/>
              </w:rPr>
              <w:t xml:space="preserve">An importer at profile </w:t>
            </w:r>
            <w:r>
              <w:rPr>
                <w:rFonts w:ascii="Consolas" w:cs="Consolas" w:eastAsia="Consolas" w:hAnsi="Consolas"/>
                <w:color w:val="1A1D21"/>
                <w:sz w:val="17"/>
                <w:szCs w:val="17"/>
                <w:shd w:fill="F2F1ED" w:color="auto" w:val="clear"/>
              </w:rPr>
              <w:t xml:space="preserve">core-intent-knowledge</w:t>
            </w:r>
            <w:r>
              <w:rPr>
                <w:sz w:val="20"/>
                <w:szCs w:val="20"/>
              </w:rPr>
              <w:t xml:space="preserve"> or above </w:t>
            </w:r>
            <w:r>
              <w:rPr>
                <w:b/>
                <w:bCs/>
                <w:color w:val="8C6D46"/>
                <w:sz w:val="20"/>
                <w:szCs w:val="20"/>
              </w:rPr>
              <w:t xml:space="preserve">MUST</w:t>
            </w:r>
            <w:r>
              <w:rPr>
                <w:sz w:val="20"/>
                <w:szCs w:val="20"/>
              </w:rPr>
              <w:t xml:space="preserve"> preserve the full text of every knowledge note, unaltered and untruncated, together with its kind, its author, and its attachment. Knowledge notes are the part of the model with no other copy: the engineer who wrote one has, by the time it matters, retired.</w:t>
            </w:r>
          </w:p>
        </w:tc>
      </w:tr>
    </w:tbl>
    <w:p>
      <w:pPr>
        <w:spacing w:after="120"/>
      </w:pPr>
      <w:r>
        <w:rPr>
          <w:sz w:val="2"/>
          <w:szCs w:val="2"/>
        </w:rPr>
        <w:t xml:space="preserve"/>
      </w:r>
    </w:p>
    <w:p>
      <w:pPr>
        <w:pStyle w:val="NoteCopy"/>
      </w:pPr>
      <w:r>
        <w:rPr>
          <w:b/>
          <w:bCs/>
          <w:color w:val="70757C"/>
          <w:sz w:val="18"/>
          <w:szCs w:val="18"/>
        </w:rPr>
        <w:t xml:space="preserve">NOTE </w:t>
      </w:r>
      <w:r>
        <w:rPr>
          <w:color w:val="70757C"/>
          <w:sz w:val="18"/>
          <w:szCs w:val="18"/>
        </w:rPr>
        <w:t xml:space="preserve">Structured knowledge types are deferred to BUS-2. A premature structure would be worse than free text, because it would encourage implementers to discard what does not fit.</w:t>
      </w:r>
    </w:p>
    <w:p>
      <w:pPr>
        <w:pStyle w:val="Heading1"/>
      </w:pPr>
      <w:r>
        <w:rPr>
          <w:rFonts w:ascii="Georgia" w:cs="Georgia" w:eastAsia="Georgia" w:hAnsi="Georgia"/>
          <w:color w:val="8C6D46"/>
        </w:rPr>
        <w:t xml:space="preserve">9</w:t>
      </w:r>
      <w:r>
        <w:t xml:space="preserve">  </w:t>
      </w:r>
      <w:r>
        <w:t xml:space="preserve">Relationships</w:t>
      </w:r>
    </w:p>
    <w:p>
      <w:pPr>
        <w:spacing w:after="160" w:before="0"/>
      </w:pPr>
      <w:r>
        <w:rPr>
          <w:rFonts w:ascii="Calibri" w:cs="Calibri" w:eastAsia="Calibri" w:hAnsi="Calibri"/>
          <w:b/>
          <w:bCs/>
          <w:color w:val="8C6D46"/>
          <w:spacing w:val="40"/>
          <w:sz w:val="14"/>
          <w:szCs w:val="14"/>
        </w:rPr>
        <w:t xml:space="preserve">AGREED</w:t>
      </w:r>
      <w:r>
        <w:t xml:space="preserve">   </w:t>
      </w:r>
      <w:r>
        <w:rPr>
          <w:i/>
          <w:iCs/>
          <w:color w:val="70757C"/>
          <w:sz w:val="17"/>
          <w:szCs w:val="17"/>
        </w:rPr>
        <w:t xml:space="preserve">The predicate set grew from 27 tokens in v0.1 to 42: twenty inverse pairs, symmetric connectedTo, and the deliberately weak references. Additions are listed in Decision Record group C.</w:t>
      </w:r>
    </w:p>
    <w:p>
      <w:pPr>
        <w:pStyle w:val="Heading2"/>
      </w:pPr>
      <w:r>
        <w:rPr>
          <w:color w:val="8C6D46"/>
        </w:rPr>
        <w:t xml:space="preserve">9.1</w:t>
      </w:r>
      <w:r>
        <w:t xml:space="preserve">  </w:t>
      </w:r>
      <w:r>
        <w:t xml:space="preserve">Relationships are entities</w:t>
      </w:r>
    </w:p>
    <w:p>
      <w:pPr>
        <w:pStyle w:val="BodyCopy"/>
      </w:pPr>
      <w:r>
        <w:t xml:space="preserve">A relationship is an addressable entity with its own identifier, provenance, and validity period. It has a </w:t>
      </w:r>
      <w:r>
        <w:rPr>
          <w:rFonts w:ascii="Consolas" w:cs="Consolas" w:eastAsia="Consolas" w:hAnsi="Consolas"/>
          <w:color w:val="1A1D21"/>
          <w:sz w:val="18"/>
          <w:szCs w:val="18"/>
          <w:shd w:fill="F2F1ED" w:color="auto" w:val="clear"/>
        </w:rPr>
        <w:t xml:space="preserve">predicate</w:t>
      </w:r>
      <w:r>
        <w:t xml:space="preserve">, a </w:t>
      </w:r>
      <w:r>
        <w:rPr>
          <w:rFonts w:ascii="Consolas" w:cs="Consolas" w:eastAsia="Consolas" w:hAnsi="Consolas"/>
          <w:color w:val="1A1D21"/>
          <w:sz w:val="18"/>
          <w:szCs w:val="18"/>
          <w:shd w:fill="F2F1ED" w:color="auto" w:val="clear"/>
        </w:rPr>
        <w:t xml:space="preserve">subject</w:t>
      </w:r>
      <w:r>
        <w:t xml:space="preserve">, and an </w:t>
      </w:r>
      <w:r>
        <w:rPr>
          <w:rFonts w:ascii="Consolas" w:cs="Consolas" w:eastAsia="Consolas" w:hAnsi="Consolas"/>
          <w:color w:val="1A1D21"/>
          <w:sz w:val="18"/>
          <w:szCs w:val="18"/>
          <w:shd w:fill="F2F1ED" w:color="auto" w:val="clear"/>
        </w:rPr>
        <w:t xml:space="preserve">object</w:t>
      </w:r>
      <w:r>
        <w:t xml:space="preserve">, and </w:t>
      </w:r>
      <w:r>
        <w:rPr>
          <w:b/>
          <w:bCs/>
          <w:color w:val="8C6D46"/>
        </w:rPr>
        <w:t xml:space="preserve">MAY</w:t>
      </w:r>
      <w:r>
        <w:t xml:space="preserve"> carry a </w:t>
      </w:r>
      <w:r>
        <w:rPr>
          <w:rFonts w:ascii="Consolas" w:cs="Consolas" w:eastAsia="Consolas" w:hAnsi="Consolas"/>
          <w:color w:val="1A1D21"/>
          <w:sz w:val="18"/>
          <w:szCs w:val="18"/>
          <w:shd w:fill="F2F1ED" w:color="auto" w:val="clear"/>
        </w:rPr>
        <w:t xml:space="preserve">medium</w:t>
      </w:r>
      <w:r>
        <w:t xml:space="preserve">, port qualifiers, and arbitrary </w:t>
      </w:r>
      <w:r>
        <w:rPr>
          <w:rFonts w:ascii="Consolas" w:cs="Consolas" w:eastAsia="Consolas" w:hAnsi="Consolas"/>
          <w:color w:val="1A1D21"/>
          <w:sz w:val="18"/>
          <w:szCs w:val="18"/>
          <w:shd w:fill="F2F1ED" w:color="auto" w:val="clear"/>
        </w:rPr>
        <w:t xml:space="preserve">qualifiers</w:t>
      </w:r>
      <w:r>
        <w:t xml:space="preserve">.</w:t>
      </w:r>
    </w:p>
    <w:tbl>
      <w:tblPr>
        <w:tblW w:type="dxa" w:w="9072"/>
        <w:tblBorders>
          <w:top w:val="none" w:color="FFFFFF" w:sz="0"/>
          <w:left w:val="single" w:color="D9D4C9" w:sz="12"/>
          <w:bottom w:val="none" w:color="FFFFFF" w:sz="0"/>
          <w:right w:val="none" w:color="FFFFFF" w:sz="0"/>
          <w:insideH w:val="none" w:color="FFFFFF" w:sz="0"/>
          <w:insideV w:val="none" w:color="FFFFFF" w:sz="0"/>
        </w:tblBorders>
        <w:tblLayout w:type="fixed"/>
      </w:tblPr>
      <w:tblGrid>
        <w:gridCol w:w="9072"/>
      </w:tblGrid>
      <w:tr>
        <w:trPr>
          <w:cantSplit w:val="false"/>
        </w:trPr>
        <w:tc>
          <w:tcPr>
            <w:tcW w:type="dxa" w:w="9072"/>
            <w:shd w:fill="F2F1ED" w:color="auto" w:val="clear"/>
            <w:tcMar>
              <w:top w:type="dxa" w:w="160"/>
              <w:left w:type="dxa" w:w="220"/>
              <w:bottom w:type="dxa" w:w="160"/>
              <w:right w:type="dxa" w:w="200"/>
            </w:tcMar>
          </w:tcPr>
          <w:p>
            <w:pPr>
              <w:spacing w:after="20" w:line="240"/>
            </w:pPr>
            <w:r>
              <w:rPr>
                <w:rFonts w:ascii="Consolas" w:cs="Consolas" w:eastAsia="Consolas" w:hAnsi="Consolas"/>
                <w:color w:val="1A1D21"/>
                <w:sz w:val="16"/>
                <w:szCs w:val="16"/>
              </w:rPr>
              <w:t xml:space="preserve">{ "id": "urn:uuid:...2014",</w:t>
            </w:r>
          </w:p>
          <w:p>
            <w:pPr>
              <w:spacing w:after="20" w:line="240"/>
            </w:pPr>
            <w:r>
              <w:rPr>
                <w:rFonts w:ascii="Consolas" w:cs="Consolas" w:eastAsia="Consolas" w:hAnsi="Consolas"/>
                <w:color w:val="1A1D21"/>
                <w:sz w:val="16"/>
                <w:szCs w:val="16"/>
              </w:rPr>
              <w:t xml:space="preserve">  "type": "bus:Relationship",</w:t>
            </w:r>
          </w:p>
          <w:p>
            <w:pPr>
              <w:spacing w:after="20" w:line="240"/>
            </w:pPr>
            <w:r>
              <w:rPr>
                <w:rFonts w:ascii="Consolas" w:cs="Consolas" w:eastAsia="Consolas" w:hAnsi="Consolas"/>
                <w:color w:val="1A1D21"/>
                <w:sz w:val="16"/>
                <w:szCs w:val="16"/>
              </w:rPr>
              <w:t xml:space="preserve">  "predicate": "bus:feeds",</w:t>
            </w:r>
          </w:p>
          <w:p>
            <w:pPr>
              <w:spacing w:after="20" w:line="240"/>
            </w:pPr>
            <w:r>
              <w:rPr>
                <w:rFonts w:ascii="Consolas" w:cs="Consolas" w:eastAsia="Consolas" w:hAnsi="Consolas"/>
                <w:color w:val="1A1D21"/>
                <w:sz w:val="16"/>
                <w:szCs w:val="16"/>
              </w:rPr>
              <w:t xml:space="preserve">  "subject": "urn:uuid:...051",         // AHU-1</w:t>
            </w:r>
          </w:p>
          <w:p>
            <w:pPr>
              <w:spacing w:after="20" w:line="240"/>
            </w:pPr>
            <w:r>
              <w:rPr>
                <w:rFonts w:ascii="Consolas" w:cs="Consolas" w:eastAsia="Consolas" w:hAnsi="Consolas"/>
                <w:color w:val="1A1D21"/>
                <w:sz w:val="16"/>
                <w:szCs w:val="16"/>
              </w:rPr>
              <w:t xml:space="preserve">  "object":  "urn:uuid:...052",         // VAV-2-01</w:t>
            </w:r>
          </w:p>
          <w:p>
            <w:pPr>
              <w:spacing w:after="20" w:line="240"/>
            </w:pPr>
            <w:r>
              <w:rPr>
                <w:rFonts w:ascii="Consolas" w:cs="Consolas" w:eastAsia="Consolas" w:hAnsi="Consolas"/>
                <w:color w:val="1A1D21"/>
                <w:sz w:val="16"/>
                <w:szCs w:val="16"/>
              </w:rPr>
              <w:t xml:space="preserve">  "medium": "air",</w:t>
            </w:r>
          </w:p>
          <w:p>
            <w:pPr>
              <w:spacing w:after="20" w:line="240"/>
            </w:pPr>
            <w:r>
              <w:rPr>
                <w:rFonts w:ascii="Consolas" w:cs="Consolas" w:eastAsia="Consolas" w:hAnsi="Consolas"/>
                <w:color w:val="1A1D21"/>
                <w:sz w:val="16"/>
                <w:szCs w:val="16"/>
              </w:rPr>
              <w:t xml:space="preserve">  "subjectPort": "supply", "objectPort": "inlet",</w:t>
            </w:r>
          </w:p>
          <w:p>
            <w:pPr>
              <w:spacing w:after="0" w:line="240"/>
            </w:pPr>
            <w:r>
              <w:rPr>
                <w:rFonts w:ascii="Consolas" w:cs="Consolas" w:eastAsia="Consolas" w:hAnsi="Consolas"/>
                <w:color w:val="1A1D21"/>
                <w:sz w:val="16"/>
                <w:szCs w:val="16"/>
              </w:rPr>
              <w:t xml:space="preserve">  "qualifiers": { "designFlow": { "value": 0.42, "unit": "m3/s" } } }</w:t>
            </w:r>
          </w:p>
        </w:tc>
      </w:tr>
    </w:tbl>
    <w:p>
      <w:pPr>
        <w:pStyle w:val="Heading2"/>
      </w:pPr>
      <w:r>
        <w:rPr>
          <w:color w:val="8C6D46"/>
        </w:rPr>
        <w:t xml:space="preserve">9.2</w:t>
      </w:r>
      <w:r>
        <w:t xml:space="preserve">  </w:t>
      </w:r>
      <w:r>
        <w:t xml:space="preserve">The normative predicate set</w:t>
      </w:r>
    </w:p>
    <w:p>
      <w:pPr>
        <w:pStyle w:val="BodyCopy"/>
      </w:pPr>
      <w:r>
        <w:t xml:space="preserve">An implementation </w:t>
      </w:r>
      <w:r>
        <w:rPr>
          <w:b/>
          <w:bCs/>
          <w:color w:val="8C6D46"/>
        </w:rPr>
        <w:t xml:space="preserve">MUST NOT</w:t>
      </w:r>
      <w:r>
        <w:t xml:space="preserve"> use a </w:t>
      </w:r>
      <w:r>
        <w:rPr>
          <w:rFonts w:ascii="Consolas" w:cs="Consolas" w:eastAsia="Consolas" w:hAnsi="Consolas"/>
          <w:color w:val="1A1D21"/>
          <w:sz w:val="18"/>
          <w:szCs w:val="18"/>
          <w:shd w:fill="F2F1ED" w:color="auto" w:val="clear"/>
        </w:rPr>
        <w:t xml:space="preserve">bus:</w:t>
      </w:r>
      <w:r>
        <w:t xml:space="preserve">-prefixed predicate outside this set.</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2100"/>
        <w:gridCol w:w="2100"/>
        <w:gridCol w:w="4872"/>
      </w:tblGrid>
      <w:tr>
        <w:trPr>
          <w:cantSplit/>
          <w:tblHeader/>
        </w:trPr>
        <w:tc>
          <w:tcPr>
            <w:tcW w:type="dxa" w:w="21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Predicate</w:t>
            </w:r>
          </w:p>
        </w:tc>
        <w:tc>
          <w:tcPr>
            <w:tcW w:type="dxa" w:w="21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Inverse</w:t>
            </w:r>
          </w:p>
        </w:tc>
        <w:tc>
          <w:tcPr>
            <w:tcW w:type="dxa" w:w="48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Meaning, subject to object</w:t>
            </w:r>
          </w:p>
        </w:tc>
      </w:tr>
      <w:tr>
        <w:trPr>
          <w:cantSplit/>
        </w:trPr>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bus:contains</w:t>
            </w:r>
          </w:p>
        </w:tc>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bus:containedIn</w:t>
            </w:r>
          </w:p>
        </w:tc>
        <w:tc>
          <w:tcPr>
            <w:tcW w:type="dxa" w:w="4872"/>
            <w:shd w:fill="FFFFFF" w:color="auto" w:val="clear"/>
            <w:tcMar>
              <w:top w:type="dxa" w:w="120"/>
              <w:left w:type="dxa" w:w="160"/>
              <w:bottom w:type="dxa" w:w="120"/>
              <w:right w:type="dxa" w:w="160"/>
            </w:tcMar>
            <w:vAlign w:val="top"/>
          </w:tcPr>
          <w:p>
            <w:pPr>
              <w:spacing w:after="0" w:line="260"/>
            </w:pPr>
            <w:r>
              <w:rPr>
                <w:sz w:val="18"/>
                <w:szCs w:val="18"/>
              </w:rPr>
              <w:t xml:space="preserve">Spatial or organizational containment. Transitive.</w:t>
            </w:r>
          </w:p>
        </w:tc>
      </w:tr>
      <w:tr>
        <w:trPr>
          <w:cantSplit/>
        </w:trPr>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bus:hasPart</w:t>
            </w:r>
          </w:p>
        </w:tc>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bus:partOf</w:t>
            </w:r>
          </w:p>
        </w:tc>
        <w:tc>
          <w:tcPr>
            <w:tcW w:type="dxa" w:w="4872"/>
            <w:shd w:fill="FAF9F6" w:color="auto" w:val="clear"/>
            <w:tcMar>
              <w:top w:type="dxa" w:w="120"/>
              <w:left w:type="dxa" w:w="160"/>
              <w:bottom w:type="dxa" w:w="120"/>
              <w:right w:type="dxa" w:w="160"/>
            </w:tcMar>
            <w:vAlign w:val="top"/>
          </w:tcPr>
          <w:p>
            <w:pPr>
              <w:spacing w:after="0" w:line="260"/>
            </w:pPr>
            <w:r>
              <w:rPr>
                <w:sz w:val="18"/>
                <w:szCs w:val="18"/>
              </w:rPr>
              <w:t xml:space="preserve">Compositional part of an asset. Transitive. Equipment to component.</w:t>
            </w:r>
          </w:p>
        </w:tc>
      </w:tr>
      <w:tr>
        <w:trPr>
          <w:cantSplit/>
        </w:trPr>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bus:hasMember</w:t>
            </w:r>
          </w:p>
        </w:tc>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bus:memberOf</w:t>
            </w:r>
          </w:p>
        </w:tc>
        <w:tc>
          <w:tcPr>
            <w:tcW w:type="dxa" w:w="4872"/>
            <w:shd w:fill="FFFFFF" w:color="auto" w:val="clear"/>
            <w:tcMar>
              <w:top w:type="dxa" w:w="120"/>
              <w:left w:type="dxa" w:w="160"/>
              <w:bottom w:type="dxa" w:w="120"/>
              <w:right w:type="dxa" w:w="160"/>
            </w:tcMar>
            <w:vAlign w:val="top"/>
          </w:tcPr>
          <w:p>
            <w:pPr>
              <w:spacing w:after="0" w:line="260"/>
            </w:pPr>
            <w:r>
              <w:rPr>
                <w:sz w:val="18"/>
                <w:szCs w:val="18"/>
              </w:rPr>
              <w:t xml:space="preserve">Grouping without containment. Not transitive. System to equipment, zone to space.</w:t>
            </w:r>
          </w:p>
        </w:tc>
      </w:tr>
      <w:tr>
        <w:trPr>
          <w:cantSplit/>
        </w:trPr>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bus:locatedIn</w:t>
            </w:r>
          </w:p>
        </w:tc>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bus:hasLocation</w:t>
            </w:r>
          </w:p>
        </w:tc>
        <w:tc>
          <w:tcPr>
            <w:tcW w:type="dxa" w:w="4872"/>
            <w:shd w:fill="FAF9F6" w:color="auto" w:val="clear"/>
            <w:tcMar>
              <w:top w:type="dxa" w:w="120"/>
              <w:left w:type="dxa" w:w="160"/>
              <w:bottom w:type="dxa" w:w="120"/>
              <w:right w:type="dxa" w:w="160"/>
            </w:tcMar>
            <w:vAlign w:val="top"/>
          </w:tcPr>
          <w:p>
            <w:pPr>
              <w:spacing w:after="0" w:line="260"/>
            </w:pPr>
            <w:r>
              <w:rPr>
                <w:sz w:val="18"/>
                <w:szCs w:val="18"/>
              </w:rPr>
              <w:t xml:space="preserve">Physical placement of an asset in a space.</w:t>
            </w:r>
          </w:p>
        </w:tc>
      </w:tr>
      <w:tr>
        <w:trPr>
          <w:cantSplit/>
        </w:trPr>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bus:serves</w:t>
            </w:r>
          </w:p>
        </w:tc>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bus:servedBy</w:t>
            </w:r>
          </w:p>
        </w:tc>
        <w:tc>
          <w:tcPr>
            <w:tcW w:type="dxa" w:w="4872"/>
            <w:shd w:fill="FFFFFF" w:color="auto" w:val="clear"/>
            <w:tcMar>
              <w:top w:type="dxa" w:w="120"/>
              <w:left w:type="dxa" w:w="160"/>
              <w:bottom w:type="dxa" w:w="120"/>
              <w:right w:type="dxa" w:w="160"/>
            </w:tcMar>
            <w:vAlign w:val="top"/>
          </w:tcPr>
          <w:p>
            <w:pPr>
              <w:spacing w:after="0" w:line="260"/>
            </w:pPr>
            <w:r>
              <w:rPr>
                <w:sz w:val="18"/>
                <w:szCs w:val="18"/>
              </w:rPr>
              <w:t xml:space="preserve">Delivery of a service to a space, zone, or asset.</w:t>
            </w:r>
          </w:p>
        </w:tc>
      </w:tr>
      <w:tr>
        <w:trPr>
          <w:cantSplit/>
        </w:trPr>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bus:feeds</w:t>
            </w:r>
          </w:p>
        </w:tc>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bus:fedBy</w:t>
            </w:r>
          </w:p>
        </w:tc>
        <w:tc>
          <w:tcPr>
            <w:tcW w:type="dxa" w:w="4872"/>
            <w:shd w:fill="FAF9F6" w:color="auto" w:val="clear"/>
            <w:tcMar>
              <w:top w:type="dxa" w:w="120"/>
              <w:left w:type="dxa" w:w="160"/>
              <w:bottom w:type="dxa" w:w="120"/>
              <w:right w:type="dxa" w:w="160"/>
            </w:tcMar>
            <w:vAlign w:val="top"/>
          </w:tcPr>
          <w:p>
            <w:pPr>
              <w:spacing w:after="0" w:line="260"/>
            </w:pPr>
            <w:r>
              <w:rPr>
                <w:sz w:val="18"/>
                <w:szCs w:val="18"/>
              </w:rPr>
              <w:t xml:space="preserve">Directed flow of a medium. Requires </w:t>
            </w:r>
            <w:r>
              <w:rPr>
                <w:rFonts w:ascii="Consolas" w:cs="Consolas" w:eastAsia="Consolas" w:hAnsi="Consolas"/>
                <w:color w:val="1A1D21"/>
                <w:sz w:val="15"/>
                <w:szCs w:val="15"/>
                <w:shd w:fill="F2F1ED" w:color="auto" w:val="clear"/>
              </w:rPr>
              <w:t xml:space="preserve">medium</w:t>
            </w:r>
            <w:r>
              <w:rPr>
                <w:sz w:val="18"/>
                <w:szCs w:val="18"/>
              </w:rPr>
              <w:t xml:space="preserve">.</w:t>
            </w:r>
          </w:p>
        </w:tc>
      </w:tr>
      <w:tr>
        <w:trPr>
          <w:cantSplit/>
        </w:trPr>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bus:connectedTo</w:t>
            </w:r>
          </w:p>
        </w:tc>
        <w:tc>
          <w:tcPr>
            <w:tcW w:type="dxa" w:w="2100"/>
            <w:shd w:fill="FFFFFF" w:color="auto" w:val="clear"/>
            <w:tcMar>
              <w:top w:type="dxa" w:w="120"/>
              <w:left w:type="dxa" w:w="160"/>
              <w:bottom w:type="dxa" w:w="120"/>
              <w:right w:type="dxa" w:w="160"/>
            </w:tcMar>
            <w:vAlign w:val="top"/>
          </w:tcPr>
          <w:p>
            <w:pPr>
              <w:spacing w:after="0" w:line="260"/>
            </w:pPr>
            <w:r>
              <w:rPr>
                <w:sz w:val="18"/>
                <w:szCs w:val="18"/>
              </w:rPr>
              <w:t xml:space="preserve">(symmetric)</w:t>
            </w:r>
          </w:p>
        </w:tc>
        <w:tc>
          <w:tcPr>
            <w:tcW w:type="dxa" w:w="4872"/>
            <w:shd w:fill="FFFFFF" w:color="auto" w:val="clear"/>
            <w:tcMar>
              <w:top w:type="dxa" w:w="120"/>
              <w:left w:type="dxa" w:w="160"/>
              <w:bottom w:type="dxa" w:w="120"/>
              <w:right w:type="dxa" w:w="160"/>
            </w:tcMar>
            <w:vAlign w:val="top"/>
          </w:tcPr>
          <w:p>
            <w:pPr>
              <w:spacing w:after="0" w:line="260"/>
            </w:pPr>
            <w:r>
              <w:rPr>
                <w:sz w:val="18"/>
                <w:szCs w:val="18"/>
              </w:rPr>
              <w:t xml:space="preserve">Undirected physical connection, qualified by medium and port.</w:t>
            </w:r>
          </w:p>
        </w:tc>
      </w:tr>
      <w:tr>
        <w:trPr>
          <w:cantSplit/>
        </w:trPr>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bus:powers</w:t>
            </w:r>
          </w:p>
        </w:tc>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bus:poweredBy</w:t>
            </w:r>
          </w:p>
        </w:tc>
        <w:tc>
          <w:tcPr>
            <w:tcW w:type="dxa" w:w="4872"/>
            <w:shd w:fill="FAF9F6" w:color="auto" w:val="clear"/>
            <w:tcMar>
              <w:top w:type="dxa" w:w="120"/>
              <w:left w:type="dxa" w:w="160"/>
              <w:bottom w:type="dxa" w:w="120"/>
              <w:right w:type="dxa" w:w="160"/>
            </w:tcMar>
            <w:vAlign w:val="top"/>
          </w:tcPr>
          <w:p>
            <w:pPr>
              <w:spacing w:after="0" w:line="260"/>
            </w:pPr>
            <w:r>
              <w:rPr>
                <w:sz w:val="18"/>
                <w:szCs w:val="18"/>
              </w:rPr>
              <w:t xml:space="preserve">Electrical supply. What an operator traces during an outage.</w:t>
            </w:r>
          </w:p>
        </w:tc>
      </w:tr>
      <w:tr>
        <w:trPr>
          <w:cantSplit/>
        </w:trPr>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bus:measures</w:t>
            </w:r>
          </w:p>
        </w:tc>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bus:measuredBy</w:t>
            </w:r>
          </w:p>
        </w:tc>
        <w:tc>
          <w:tcPr>
            <w:tcW w:type="dxa" w:w="4872"/>
            <w:shd w:fill="FFFFFF" w:color="auto" w:val="clear"/>
            <w:tcMar>
              <w:top w:type="dxa" w:w="120"/>
              <w:left w:type="dxa" w:w="160"/>
              <w:bottom w:type="dxa" w:w="120"/>
              <w:right w:type="dxa" w:w="160"/>
            </w:tcMar>
            <w:vAlign w:val="top"/>
          </w:tcPr>
          <w:p>
            <w:pPr>
              <w:spacing w:after="0" w:line="260"/>
            </w:pPr>
            <w:r>
              <w:rPr>
                <w:sz w:val="18"/>
                <w:szCs w:val="18"/>
              </w:rPr>
              <w:t xml:space="preserve">Observation. Point to the thing observed.</w:t>
            </w:r>
          </w:p>
        </w:tc>
      </w:tr>
      <w:tr>
        <w:trPr>
          <w:cantSplit/>
        </w:trPr>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bus:commands</w:t>
            </w:r>
          </w:p>
        </w:tc>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bus:commandedBy</w:t>
            </w:r>
          </w:p>
        </w:tc>
        <w:tc>
          <w:tcPr>
            <w:tcW w:type="dxa" w:w="4872"/>
            <w:shd w:fill="FAF9F6" w:color="auto" w:val="clear"/>
            <w:tcMar>
              <w:top w:type="dxa" w:w="120"/>
              <w:left w:type="dxa" w:w="160"/>
              <w:bottom w:type="dxa" w:w="120"/>
              <w:right w:type="dxa" w:w="160"/>
            </w:tcMar>
            <w:vAlign w:val="top"/>
          </w:tcPr>
          <w:p>
            <w:pPr>
              <w:spacing w:after="0" w:line="260"/>
            </w:pPr>
            <w:r>
              <w:rPr>
                <w:sz w:val="18"/>
                <w:szCs w:val="18"/>
              </w:rPr>
              <w:t xml:space="preserve">Actuation by a point. Point to the thing acted upon.</w:t>
            </w:r>
          </w:p>
        </w:tc>
      </w:tr>
      <w:tr>
        <w:trPr>
          <w:cantSplit/>
        </w:trPr>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bus:controls</w:t>
            </w:r>
          </w:p>
        </w:tc>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bus:controlledBy</w:t>
            </w:r>
          </w:p>
        </w:tc>
        <w:tc>
          <w:tcPr>
            <w:tcW w:type="dxa" w:w="4872"/>
            <w:shd w:fill="FFFFFF" w:color="auto" w:val="clear"/>
            <w:tcMar>
              <w:top w:type="dxa" w:w="120"/>
              <w:left w:type="dxa" w:w="160"/>
              <w:bottom w:type="dxa" w:w="120"/>
              <w:right w:type="dxa" w:w="160"/>
            </w:tcMar>
            <w:vAlign w:val="top"/>
          </w:tcPr>
          <w:p>
            <w:pPr>
              <w:spacing w:after="0" w:line="260"/>
            </w:pPr>
            <w:r>
              <w:rPr>
                <w:sz w:val="18"/>
                <w:szCs w:val="18"/>
              </w:rPr>
              <w:t xml:space="preserve">Governance by a controller, sequence, or strategy.</w:t>
            </w:r>
          </w:p>
        </w:tc>
      </w:tr>
      <w:tr>
        <w:trPr>
          <w:cantSplit/>
        </w:trPr>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bus:hosts</w:t>
            </w:r>
          </w:p>
        </w:tc>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bus:hostedBy</w:t>
            </w:r>
          </w:p>
        </w:tc>
        <w:tc>
          <w:tcPr>
            <w:tcW w:type="dxa" w:w="4872"/>
            <w:shd w:fill="FAF9F6" w:color="auto" w:val="clear"/>
            <w:tcMar>
              <w:top w:type="dxa" w:w="120"/>
              <w:left w:type="dxa" w:w="160"/>
              <w:bottom w:type="dxa" w:w="120"/>
              <w:right w:type="dxa" w:w="160"/>
            </w:tcMar>
            <w:vAlign w:val="top"/>
          </w:tcPr>
          <w:p>
            <w:pPr>
              <w:spacing w:after="0" w:line="260"/>
            </w:pPr>
            <w:r>
              <w:rPr>
                <w:sz w:val="18"/>
                <w:szCs w:val="18"/>
              </w:rPr>
              <w:t xml:space="preserve">Provision of an addressable home for a point. Device to point.</w:t>
            </w:r>
          </w:p>
        </w:tc>
      </w:tr>
      <w:tr>
        <w:trPr>
          <w:cantSplit/>
        </w:trPr>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bus:appliesTo</w:t>
            </w:r>
          </w:p>
        </w:tc>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bus:hasApplicable</w:t>
            </w:r>
          </w:p>
        </w:tc>
        <w:tc>
          <w:tcPr>
            <w:tcW w:type="dxa" w:w="4872"/>
            <w:shd w:fill="FFFFFF" w:color="auto" w:val="clear"/>
            <w:tcMar>
              <w:top w:type="dxa" w:w="120"/>
              <w:left w:type="dxa" w:w="160"/>
              <w:bottom w:type="dxa" w:w="120"/>
              <w:right w:type="dxa" w:w="160"/>
            </w:tcMar>
            <w:vAlign w:val="top"/>
          </w:tcPr>
          <w:p>
            <w:pPr>
              <w:spacing w:after="0" w:line="260"/>
            </w:pPr>
            <w:r>
              <w:rPr>
                <w:sz w:val="18"/>
                <w:szCs w:val="18"/>
              </w:rPr>
              <w:t xml:space="preserve">Attachment of intent, an alarm definition, or a result to what it concerns.</w:t>
            </w:r>
          </w:p>
        </w:tc>
      </w:tr>
      <w:tr>
        <w:trPr>
          <w:cantSplit/>
        </w:trPr>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bus:implements</w:t>
            </w:r>
          </w:p>
        </w:tc>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bus:implementedBy</w:t>
            </w:r>
          </w:p>
        </w:tc>
        <w:tc>
          <w:tcPr>
            <w:tcW w:type="dxa" w:w="4872"/>
            <w:shd w:fill="FAF9F6" w:color="auto" w:val="clear"/>
            <w:tcMar>
              <w:top w:type="dxa" w:w="120"/>
              <w:left w:type="dxa" w:w="160"/>
              <w:bottom w:type="dxa" w:w="120"/>
              <w:right w:type="dxa" w:w="160"/>
            </w:tcMar>
            <w:vAlign w:val="top"/>
          </w:tcPr>
          <w:p>
            <w:pPr>
              <w:spacing w:after="0" w:line="260"/>
            </w:pPr>
            <w:r>
              <w:rPr>
                <w:sz w:val="18"/>
                <w:szCs w:val="18"/>
              </w:rPr>
              <w:t xml:space="preserve">A sequence or schedule realizes an intent.</w:t>
            </w:r>
          </w:p>
        </w:tc>
      </w:tr>
      <w:tr>
        <w:trPr>
          <w:cantSplit/>
        </w:trPr>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bus:explains</w:t>
            </w:r>
          </w:p>
        </w:tc>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bus:explainedBy</w:t>
            </w:r>
          </w:p>
        </w:tc>
        <w:tc>
          <w:tcPr>
            <w:tcW w:type="dxa" w:w="4872"/>
            <w:shd w:fill="FFFFFF" w:color="auto" w:val="clear"/>
            <w:tcMar>
              <w:top w:type="dxa" w:w="120"/>
              <w:left w:type="dxa" w:w="160"/>
              <w:bottom w:type="dxa" w:w="120"/>
              <w:right w:type="dxa" w:w="160"/>
            </w:tcMar>
            <w:vAlign w:val="top"/>
          </w:tcPr>
          <w:p>
            <w:pPr>
              <w:spacing w:after="0" w:line="260"/>
            </w:pPr>
            <w:r>
              <w:rPr>
                <w:sz w:val="18"/>
                <w:szCs w:val="18"/>
              </w:rPr>
              <w:t xml:space="preserve">Knowledge accounts for why something is as it is.</w:t>
            </w:r>
          </w:p>
        </w:tc>
      </w:tr>
      <w:tr>
        <w:trPr>
          <w:cantSplit/>
        </w:trPr>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bus:supports</w:t>
            </w:r>
          </w:p>
        </w:tc>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bus:supportedBy</w:t>
            </w:r>
          </w:p>
        </w:tc>
        <w:tc>
          <w:tcPr>
            <w:tcW w:type="dxa" w:w="4872"/>
            <w:shd w:fill="FAF9F6" w:color="auto" w:val="clear"/>
            <w:tcMar>
              <w:top w:type="dxa" w:w="120"/>
              <w:left w:type="dxa" w:w="160"/>
              <w:bottom w:type="dxa" w:w="120"/>
              <w:right w:type="dxa" w:w="160"/>
            </w:tcMar>
            <w:vAlign w:val="top"/>
          </w:tcPr>
          <w:p>
            <w:pPr>
              <w:spacing w:after="0" w:line="260"/>
            </w:pPr>
            <w:r>
              <w:rPr>
                <w:sz w:val="18"/>
                <w:szCs w:val="18"/>
              </w:rPr>
              <w:t xml:space="preserve">Knowledge or evidence supports an assertion.</w:t>
            </w:r>
          </w:p>
        </w:tc>
      </w:tr>
      <w:tr>
        <w:trPr>
          <w:cantSplit/>
        </w:trPr>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bus:justifies</w:t>
            </w:r>
          </w:p>
        </w:tc>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bus:justifiedBy</w:t>
            </w:r>
          </w:p>
        </w:tc>
        <w:tc>
          <w:tcPr>
            <w:tcW w:type="dxa" w:w="4872"/>
            <w:shd w:fill="FFFFFF" w:color="auto" w:val="clear"/>
            <w:tcMar>
              <w:top w:type="dxa" w:w="120"/>
              <w:left w:type="dxa" w:w="160"/>
              <w:bottom w:type="dxa" w:w="120"/>
              <w:right w:type="dxa" w:w="160"/>
            </w:tcMar>
            <w:vAlign w:val="top"/>
          </w:tcPr>
          <w:p>
            <w:pPr>
              <w:spacing w:after="0" w:line="260"/>
            </w:pPr>
            <w:r>
              <w:rPr>
                <w:sz w:val="18"/>
                <w:szCs w:val="18"/>
              </w:rPr>
              <w:t xml:space="preserve">A rationale justifies a decision or change.</w:t>
            </w:r>
          </w:p>
        </w:tc>
      </w:tr>
      <w:tr>
        <w:trPr>
          <w:cantSplit/>
        </w:trPr>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bus:derivedFrom</w:t>
            </w:r>
          </w:p>
        </w:tc>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bus:derives</w:t>
            </w:r>
          </w:p>
        </w:tc>
        <w:tc>
          <w:tcPr>
            <w:tcW w:type="dxa" w:w="4872"/>
            <w:shd w:fill="FAF9F6" w:color="auto" w:val="clear"/>
            <w:tcMar>
              <w:top w:type="dxa" w:w="120"/>
              <w:left w:type="dxa" w:w="160"/>
              <w:bottom w:type="dxa" w:w="120"/>
              <w:right w:type="dxa" w:w="160"/>
            </w:tcMar>
            <w:vAlign w:val="top"/>
          </w:tcPr>
          <w:p>
            <w:pPr>
              <w:spacing w:after="0" w:line="260"/>
            </w:pPr>
            <w:r>
              <w:rPr>
                <w:sz w:val="18"/>
                <w:szCs w:val="18"/>
              </w:rPr>
              <w:t xml:space="preserve">Dependence of a calculated value on its inputs.</w:t>
            </w:r>
          </w:p>
        </w:tc>
      </w:tr>
      <w:tr>
        <w:trPr>
          <w:cantSplit/>
        </w:trPr>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bus:documentedBy</w:t>
            </w:r>
          </w:p>
        </w:tc>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bus:documents</w:t>
            </w:r>
          </w:p>
        </w:tc>
        <w:tc>
          <w:tcPr>
            <w:tcW w:type="dxa" w:w="4872"/>
            <w:shd w:fill="FFFFFF" w:color="auto" w:val="clear"/>
            <w:tcMar>
              <w:top w:type="dxa" w:w="120"/>
              <w:left w:type="dxa" w:w="160"/>
              <w:bottom w:type="dxa" w:w="120"/>
              <w:right w:type="dxa" w:w="160"/>
            </w:tcMar>
            <w:vAlign w:val="top"/>
          </w:tcPr>
          <w:p>
            <w:pPr>
              <w:spacing w:after="0" w:line="260"/>
            </w:pPr>
            <w:r>
              <w:rPr>
                <w:sz w:val="18"/>
                <w:szCs w:val="18"/>
              </w:rPr>
              <w:t xml:space="preserve">Attachment of a resource to what it describes.</w:t>
            </w:r>
          </w:p>
        </w:tc>
      </w:tr>
      <w:tr>
        <w:trPr>
          <w:cantSplit/>
        </w:trPr>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bus:represents</w:t>
            </w:r>
          </w:p>
        </w:tc>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bus:representedBy</w:t>
            </w:r>
          </w:p>
        </w:tc>
        <w:tc>
          <w:tcPr>
            <w:tcW w:type="dxa" w:w="4872"/>
            <w:shd w:fill="FAF9F6" w:color="auto" w:val="clear"/>
            <w:tcMar>
              <w:top w:type="dxa" w:w="120"/>
              <w:left w:type="dxa" w:w="160"/>
              <w:bottom w:type="dxa" w:w="120"/>
              <w:right w:type="dxa" w:w="160"/>
            </w:tcMar>
            <w:vAlign w:val="top"/>
          </w:tcPr>
          <w:p>
            <w:pPr>
              <w:spacing w:after="0" w:line="260"/>
            </w:pPr>
            <w:r>
              <w:rPr>
                <w:sz w:val="18"/>
                <w:szCs w:val="18"/>
              </w:rPr>
              <w:t xml:space="preserve">A drawing or element depicts a building entity.</w:t>
            </w:r>
          </w:p>
        </w:tc>
      </w:tr>
      <w:tr>
        <w:trPr>
          <w:cantSplit/>
        </w:trPr>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bus:replaces</w:t>
            </w:r>
          </w:p>
        </w:tc>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bus:replacedBy</w:t>
            </w:r>
          </w:p>
        </w:tc>
        <w:tc>
          <w:tcPr>
            <w:tcW w:type="dxa" w:w="4872"/>
            <w:shd w:fill="FFFFFF" w:color="auto" w:val="clear"/>
            <w:tcMar>
              <w:top w:type="dxa" w:w="120"/>
              <w:left w:type="dxa" w:w="160"/>
              <w:bottom w:type="dxa" w:w="120"/>
              <w:right w:type="dxa" w:w="160"/>
            </w:tcMar>
            <w:vAlign w:val="top"/>
          </w:tcPr>
          <w:p>
            <w:pPr>
              <w:spacing w:after="0" w:line="260"/>
            </w:pPr>
            <w:r>
              <w:rPr>
                <w:sz w:val="18"/>
                <w:szCs w:val="18"/>
              </w:rPr>
              <w:t xml:space="preserve">Lifecycle succession.</w:t>
            </w:r>
          </w:p>
        </w:tc>
      </w:tr>
      <w:tr>
        <w:trPr>
          <w:cantSplit/>
        </w:trPr>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bus:references</w:t>
            </w:r>
          </w:p>
        </w:tc>
        <w:tc>
          <w:tcPr>
            <w:tcW w:type="dxa" w:w="2100"/>
            <w:shd w:fill="FAF9F6" w:color="auto" w:val="clear"/>
            <w:tcMar>
              <w:top w:type="dxa" w:w="120"/>
              <w:left w:type="dxa" w:w="160"/>
              <w:bottom w:type="dxa" w:w="120"/>
              <w:right w:type="dxa" w:w="160"/>
            </w:tcMar>
            <w:vAlign w:val="top"/>
          </w:tcPr>
          <w:p>
            <w:pPr>
              <w:spacing w:after="0" w:line="260"/>
            </w:pPr>
            <w:r>
              <w:rPr>
                <w:sz w:val="18"/>
                <w:szCs w:val="18"/>
              </w:rPr>
              <w:t xml:space="preserve">(none)</w:t>
            </w:r>
          </w:p>
        </w:tc>
        <w:tc>
          <w:tcPr>
            <w:tcW w:type="dxa" w:w="4872"/>
            <w:shd w:fill="FAF9F6" w:color="auto" w:val="clear"/>
            <w:tcMar>
              <w:top w:type="dxa" w:w="120"/>
              <w:left w:type="dxa" w:w="160"/>
              <w:bottom w:type="dxa" w:w="120"/>
              <w:right w:type="dxa" w:w="160"/>
            </w:tcMar>
            <w:vAlign w:val="top"/>
          </w:tcPr>
          <w:p>
            <w:pPr>
              <w:spacing w:after="0" w:line="260"/>
            </w:pPr>
            <w:r>
              <w:rPr>
                <w:sz w:val="18"/>
                <w:szCs w:val="18"/>
              </w:rPr>
              <w:t xml:space="preserve">A link that is real but whose nature is not modeled. Deliberately weak.</w:t>
            </w:r>
          </w:p>
        </w:tc>
      </w:tr>
    </w:tbl>
    <w:p>
      <w:pPr>
        <w:pStyle w:val="BodyCopy"/>
      </w:pPr>
      <w:r>
        <w:t xml:space="preserve">Both directions of a pair are defined so an exporter can write whichever is natural. An implementation </w:t>
      </w:r>
      <w:r>
        <w:rPr>
          <w:b/>
          <w:bCs/>
          <w:color w:val="8C6D46"/>
        </w:rPr>
        <w:t xml:space="preserve">MUST NOT</w:t>
      </w:r>
      <w:r>
        <w:t xml:space="preserve"> assert both directions of the same pair for the same subject and object; that is redundancy, and it diverges under editing. A receiving system </w:t>
      </w:r>
      <w:r>
        <w:rPr>
          <w:b/>
          <w:bCs/>
          <w:color w:val="8C6D46"/>
        </w:rPr>
        <w:t xml:space="preserve">MAY</w:t>
      </w:r>
      <w:r>
        <w:t xml:space="preserve"> substitute the inverse on re-export, and test RT-3 accepts that.</w:t>
      </w:r>
    </w:p>
    <w:p>
      <w:pPr>
        <w:pStyle w:val="Heading2"/>
      </w:pPr>
      <w:r>
        <w:rPr>
          <w:color w:val="8C6D46"/>
        </w:rPr>
        <w:t xml:space="preserve">9.3</w:t>
      </w:r>
      <w:r>
        <w:t xml:space="preserve">  </w:t>
      </w:r>
      <w:r>
        <w:t xml:space="preserve">Predicate semantics</w:t>
      </w:r>
    </w:p>
    <w:p>
      <w:pPr>
        <w:pStyle w:val="BulletCopy"/>
        <w:numPr>
          <w:ilvl w:val="0"/>
          <w:numId w:val="2"/>
        </w:numPr>
      </w:pPr>
      <w:r>
        <w:rPr>
          <w:rFonts w:ascii="Consolas" w:cs="Consolas" w:eastAsia="Consolas" w:hAnsi="Consolas"/>
          <w:color w:val="1A1D21"/>
          <w:sz w:val="18"/>
          <w:szCs w:val="18"/>
          <w:shd w:fill="F2F1ED" w:color="auto" w:val="clear"/>
        </w:rPr>
        <w:t xml:space="preserve">bus:feeds</w:t>
      </w:r>
      <w:r>
        <w:t xml:space="preserve"> — </w:t>
      </w:r>
      <w:r>
        <w:rPr>
          <w:b/>
          <w:bCs/>
          <w:color w:val="8C6D46"/>
        </w:rPr>
        <w:t xml:space="preserve">MUST</w:t>
      </w:r>
      <w:r>
        <w:t xml:space="preserve"> carry a </w:t>
      </w:r>
      <w:r>
        <w:rPr>
          <w:rFonts w:ascii="Consolas" w:cs="Consolas" w:eastAsia="Consolas" w:hAnsi="Consolas"/>
          <w:color w:val="1A1D21"/>
          <w:sz w:val="18"/>
          <w:szCs w:val="18"/>
          <w:shd w:fill="F2F1ED" w:color="auto" w:val="clear"/>
        </w:rPr>
        <w:t xml:space="preserve">medium</w:t>
      </w:r>
      <w:r>
        <w:t xml:space="preserve">. A flow relationship with no medium is not interpretable, and the medium is the property most often lost when a topology is flattened into a hierarchy.</w:t>
      </w:r>
    </w:p>
    <w:p>
      <w:pPr>
        <w:pStyle w:val="BulletCopy"/>
        <w:numPr>
          <w:ilvl w:val="0"/>
          <w:numId w:val="2"/>
        </w:numPr>
      </w:pPr>
      <w:r>
        <w:rPr>
          <w:rFonts w:ascii="Consolas" w:cs="Consolas" w:eastAsia="Consolas" w:hAnsi="Consolas"/>
          <w:color w:val="1A1D21"/>
          <w:sz w:val="18"/>
          <w:szCs w:val="18"/>
          <w:shd w:fill="F2F1ED" w:color="auto" w:val="clear"/>
        </w:rPr>
        <w:t xml:space="preserve">bus:connectedTo</w:t>
      </w:r>
      <w:r>
        <w:t xml:space="preserve"> — </w:t>
      </w:r>
      <w:r>
        <w:t xml:space="preserve">is symmetric and </w:t>
      </w:r>
      <w:r>
        <w:rPr>
          <w:b/>
          <w:bCs/>
          <w:color w:val="8C6D46"/>
        </w:rPr>
        <w:t xml:space="preserve">MUST NOT</w:t>
      </w:r>
      <w:r>
        <w:t xml:space="preserve"> be asserted twice for the same pair. A duct has a direction and a pipe joint does not; one predicate cannot carry both, which is why there are two.</w:t>
      </w:r>
    </w:p>
    <w:p>
      <w:pPr>
        <w:pStyle w:val="BulletCopy"/>
        <w:numPr>
          <w:ilvl w:val="0"/>
          <w:numId w:val="2"/>
        </w:numPr>
      </w:pPr>
      <w:r>
        <w:rPr>
          <w:rFonts w:ascii="Consolas" w:cs="Consolas" w:eastAsia="Consolas" w:hAnsi="Consolas"/>
          <w:color w:val="1A1D21"/>
          <w:sz w:val="18"/>
          <w:szCs w:val="18"/>
          <w:shd w:fill="F2F1ED" w:color="auto" w:val="clear"/>
        </w:rPr>
        <w:t xml:space="preserve">bus:measures</w:t>
      </w:r>
      <w:r>
        <w:rPr>
          <w:b/>
          <w:bCs/>
          <w:color w:val="1A1D21"/>
        </w:rPr>
        <w:t xml:space="preserve"> and </w:t>
      </w:r>
      <w:r>
        <w:rPr>
          <w:rFonts w:ascii="Consolas" w:cs="Consolas" w:eastAsia="Consolas" w:hAnsi="Consolas"/>
          <w:color w:val="1A1D21"/>
          <w:sz w:val="18"/>
          <w:szCs w:val="18"/>
          <w:shd w:fill="F2F1ED" w:color="auto" w:val="clear"/>
        </w:rPr>
        <w:t xml:space="preserve">bus:commands</w:t>
      </w:r>
      <w:r>
        <w:t xml:space="preserve"> — </w:t>
      </w:r>
      <w:r>
        <w:t xml:space="preserve">the subject </w:t>
      </w:r>
      <w:r>
        <w:rPr>
          <w:b/>
          <w:bCs/>
          <w:color w:val="8C6D46"/>
        </w:rPr>
        <w:t xml:space="preserve">MUST</w:t>
      </w:r>
      <w:r>
        <w:t xml:space="preserve"> be a point. This is what separates a point from a value: a point is the thing that stands in a relationship to what it observes or acts upon.</w:t>
      </w:r>
    </w:p>
    <w:p>
      <w:pPr>
        <w:pStyle w:val="BulletCopy"/>
        <w:numPr>
          <w:ilvl w:val="0"/>
          <w:numId w:val="2"/>
        </w:numPr>
      </w:pPr>
      <w:r>
        <w:rPr>
          <w:rFonts w:ascii="Consolas" w:cs="Consolas" w:eastAsia="Consolas" w:hAnsi="Consolas"/>
          <w:color w:val="1A1D21"/>
          <w:sz w:val="18"/>
          <w:szCs w:val="18"/>
          <w:shd w:fill="F2F1ED" w:color="auto" w:val="clear"/>
        </w:rPr>
        <w:t xml:space="preserve">bus:replaces</w:t>
      </w:r>
      <w:r>
        <w:t xml:space="preserve"> — </w:t>
      </w:r>
      <w:r>
        <w:t xml:space="preserve">both endpoints </w:t>
      </w:r>
      <w:r>
        <w:rPr>
          <w:b/>
          <w:bCs/>
          <w:color w:val="8C6D46"/>
        </w:rPr>
        <w:t xml:space="preserve">MUST</w:t>
      </w:r>
      <w:r>
        <w:t xml:space="preserve"> remain in the model. Replacement does not delete.</w:t>
      </w:r>
    </w:p>
    <w:tbl>
      <w:tblPr>
        <w:tblW w:type="dxa" w:w="9072"/>
        <w:tblBorders>
          <w:top w:val="none" w:color="FFFFFF" w:sz="0"/>
          <w:left w:val="single" w:color="8C6D46" w:sz="24"/>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F5F3EE" w:color="auto" w:val="clear"/>
            <w:tcMar>
              <w:top w:type="dxa" w:w="200"/>
              <w:left w:type="dxa" w:w="260"/>
              <w:bottom w:type="dxa" w:w="200"/>
              <w:right w:type="dxa" w:w="260"/>
            </w:tcMar>
          </w:tcPr>
          <w:p>
            <w:pPr>
              <w:spacing w:after="80"/>
            </w:pPr>
            <w:r>
              <w:rPr>
                <w:rFonts w:ascii="Georgia" w:cs="Georgia" w:eastAsia="Georgia" w:hAnsi="Georgia"/>
                <w:b/>
                <w:bCs/>
                <w:color w:val="1A1D21"/>
                <w:sz w:val="22"/>
                <w:szCs w:val="22"/>
              </w:rPr>
              <w:t xml:space="preserve">Requirement 9.3-1</w:t>
            </w:r>
          </w:p>
          <w:p>
            <w:pPr>
              <w:spacing w:after="0" w:line="280"/>
            </w:pPr>
            <w:r>
              <w:rPr>
                <w:sz w:val="20"/>
                <w:szCs w:val="20"/>
              </w:rPr>
              <w:t xml:space="preserve">An implementation </w:t>
            </w:r>
            <w:r>
              <w:rPr>
                <w:b/>
                <w:bCs/>
                <w:color w:val="8C6D46"/>
                <w:sz w:val="20"/>
                <w:szCs w:val="20"/>
              </w:rPr>
              <w:t xml:space="preserve">MUST NOT</w:t>
            </w:r>
            <w:r>
              <w:rPr>
                <w:sz w:val="20"/>
                <w:szCs w:val="20"/>
              </w:rPr>
              <w:t xml:space="preserve"> delete an entity in order to record that it was replaced, superseded, or removed from service. Deletion is reserved for the case where the entity should never have existed. Everything else is a lifecycle transition, and lifecycle transitions are the mechanism by which a building keeps its identity across thirty years of component turnover.</w:t>
            </w:r>
          </w:p>
        </w:tc>
      </w:tr>
    </w:tbl>
    <w:p>
      <w:pPr>
        <w:pStyle w:val="Heading2"/>
      </w:pPr>
      <w:r>
        <w:rPr>
          <w:color w:val="8C6D46"/>
        </w:rPr>
        <w:t xml:space="preserve">9.4</w:t>
      </w:r>
      <w:r>
        <w:t xml:space="preserve">  </w:t>
      </w:r>
      <w:r>
        <w:t xml:space="preserve">Ports</w:t>
      </w:r>
    </w:p>
    <w:p>
      <w:pPr>
        <w:spacing w:after="160" w:before="0"/>
      </w:pPr>
      <w:r>
        <w:rPr>
          <w:rFonts w:ascii="Calibri" w:cs="Calibri" w:eastAsia="Calibri" w:hAnsi="Calibri"/>
          <w:b/>
          <w:bCs/>
          <w:color w:val="8C6D46"/>
          <w:spacing w:val="40"/>
          <w:sz w:val="14"/>
          <w:szCs w:val="14"/>
        </w:rPr>
        <w:t xml:space="preserve">OPEN</w:t>
      </w:r>
      <w:r>
        <w:t xml:space="preserve">   </w:t>
      </w:r>
      <w:r>
        <w:rPr>
          <w:i/>
          <w:iCs/>
          <w:color w:val="70757C"/>
          <w:sz w:val="17"/>
          <w:szCs w:val="17"/>
        </w:rPr>
        <w:t xml:space="preserve">The port model is unresolved. </w:t>
      </w:r>
      <w:r>
        <w:rPr>
          <w:rFonts w:ascii="Consolas" w:cs="Consolas" w:eastAsia="Consolas" w:hAnsi="Consolas"/>
          <w:color w:val="1A1D21"/>
          <w:sz w:val="14"/>
          <w:szCs w:val="14"/>
          <w:shd w:fill="F2F1ED" w:color="auto" w:val="clear"/>
        </w:rPr>
        <w:t xml:space="preserve">subjectPort</w:t>
      </w:r>
      <w:r>
        <w:rPr>
          <w:i/>
          <w:iCs/>
          <w:color w:val="70757C"/>
          <w:sz w:val="17"/>
          <w:szCs w:val="17"/>
        </w:rPr>
        <w:t xml:space="preserve"> and </w:t>
      </w:r>
      <w:r>
        <w:rPr>
          <w:rFonts w:ascii="Consolas" w:cs="Consolas" w:eastAsia="Consolas" w:hAnsi="Consolas"/>
          <w:color w:val="1A1D21"/>
          <w:sz w:val="14"/>
          <w:szCs w:val="14"/>
          <w:shd w:fill="F2F1ED" w:color="auto" w:val="clear"/>
        </w:rPr>
        <w:t xml:space="preserve">objectPort</w:t>
      </w:r>
      <w:r>
        <w:rPr>
          <w:i/>
          <w:iCs/>
          <w:color w:val="70757C"/>
          <w:sz w:val="17"/>
          <w:szCs w:val="17"/>
        </w:rPr>
        <w:t xml:space="preserve"> are free strings and are a placeholder, not a model.</w:t>
      </w:r>
    </w:p>
    <w:p>
      <w:pPr>
        <w:pStyle w:val="BodyCopy"/>
      </w:pPr>
      <w:r>
        <w:t xml:space="preserve">Without a port model it is not possible to say which branch, which side of a valve, or that a coil has a supply and a return. This is the largest remaining expressiveness gap in the information model. It is also the change most likely to turn a clean specification into an ontology, and it should be decided against a real hydronic plant rather than in the abstract.</w:t>
      </w:r>
    </w:p>
    <w:p>
      <w:pPr>
        <w:pStyle w:val="Heading2"/>
      </w:pPr>
      <w:r>
        <w:rPr>
          <w:color w:val="8C6D46"/>
        </w:rPr>
        <w:t xml:space="preserve">9.5</w:t>
      </w:r>
      <w:r>
        <w:t xml:space="preserve">  </w:t>
      </w:r>
      <w:r>
        <w:t xml:space="preserve">Extension predicates</w:t>
      </w:r>
    </w:p>
    <w:p>
      <w:pPr>
        <w:pStyle w:val="BodyCopy"/>
      </w:pPr>
      <w:r>
        <w:t xml:space="preserve">An implementation </w:t>
      </w:r>
      <w:r>
        <w:rPr>
          <w:b/>
          <w:bCs/>
          <w:color w:val="8C6D46"/>
        </w:rPr>
        <w:t xml:space="preserve">MAY</w:t>
      </w:r>
      <w:r>
        <w:t xml:space="preserve"> define additional predicates in a declared namespace, and </w:t>
      </w:r>
      <w:r>
        <w:rPr>
          <w:b/>
          <w:bCs/>
          <w:color w:val="8C6D46"/>
        </w:rPr>
        <w:t xml:space="preserve">SHOULD</w:t>
      </w:r>
      <w:r>
        <w:t xml:space="preserve"> do so rather than overloading </w:t>
      </w:r>
      <w:r>
        <w:rPr>
          <w:rFonts w:ascii="Consolas" w:cs="Consolas" w:eastAsia="Consolas" w:hAnsi="Consolas"/>
          <w:color w:val="1A1D21"/>
          <w:sz w:val="18"/>
          <w:szCs w:val="18"/>
          <w:shd w:fill="F2F1ED" w:color="auto" w:val="clear"/>
        </w:rPr>
        <w:t xml:space="preserve">bus:references</w:t>
      </w:r>
      <w:r>
        <w:t xml:space="preserve">. An importer </w:t>
      </w:r>
      <w:r>
        <w:rPr>
          <w:b/>
          <w:bCs/>
          <w:color w:val="8C6D46"/>
        </w:rPr>
        <w:t xml:space="preserve">MUST</w:t>
      </w:r>
      <w:r>
        <w:t xml:space="preserve"> preserve relationships whose predicate it does not recognize.</w:t>
      </w:r>
    </w:p>
    <w:p>
      <w:pPr>
        <w:pStyle w:val="Heading1"/>
      </w:pPr>
      <w:r>
        <w:rPr>
          <w:rFonts w:ascii="Georgia" w:cs="Georgia" w:eastAsia="Georgia" w:hAnsi="Georgia"/>
          <w:color w:val="8C6D46"/>
        </w:rPr>
        <w:t xml:space="preserve">10</w:t>
      </w:r>
      <w:r>
        <w:t xml:space="preserve">  </w:t>
      </w:r>
      <w:r>
        <w:t xml:space="preserve">Operational intent</w:t>
      </w:r>
    </w:p>
    <w:p>
      <w:pPr>
        <w:spacing w:after="160" w:before="0"/>
      </w:pPr>
      <w:r>
        <w:rPr>
          <w:rFonts w:ascii="Calibri" w:cs="Calibri" w:eastAsia="Calibri" w:hAnsi="Calibri"/>
          <w:b/>
          <w:bCs/>
          <w:color w:val="8C6D46"/>
          <w:spacing w:val="40"/>
          <w:sz w:val="14"/>
          <w:szCs w:val="14"/>
        </w:rPr>
        <w:t xml:space="preserve">AGREED</w:t>
      </w:r>
      <w:r>
        <w:t xml:space="preserve">   </w:t>
      </w:r>
      <w:r>
        <w:rPr>
          <w:i/>
          <w:iCs/>
          <w:color w:val="70757C"/>
          <w:sz w:val="17"/>
          <w:szCs w:val="17"/>
        </w:rPr>
        <w:t xml:space="preserve">Intent is decomposed rather than composite, and Sequence sits outside it. Both differ from the earlier technical specification; see Decision Record D-1 and D-2.</w:t>
      </w:r>
    </w:p>
    <w:p>
      <w:pPr>
        <w:pStyle w:val="Heading2"/>
      </w:pPr>
      <w:r>
        <w:rPr>
          <w:color w:val="8C6D46"/>
        </w:rPr>
        <w:t xml:space="preserve">10.1</w:t>
      </w:r>
      <w:r>
        <w:t xml:space="preserve">  </w:t>
      </w:r>
      <w:r>
        <w:t xml:space="preserve">Why intent is modeled separately</w:t>
      </w:r>
    </w:p>
    <w:p>
      <w:pPr>
        <w:pStyle w:val="BodyCopy"/>
      </w:pPr>
      <w:r>
        <w:t xml:space="preserve">A building has three tenses. What it is meant to do. What it is doing. What it did. Systems routinely store the first inside the third — an intent becomes a setpoint value in a database, indistinguishable from any other stored number — and when the system is replaced, the intent is what does not survive.</w:t>
      </w:r>
    </w:p>
    <w:p>
      <w:pPr>
        <w:pStyle w:val="BodyCopy"/>
      </w:pPr>
      <w:r>
        <w:t xml:space="preserve">Modeling intent separately is what lets a receiving system answer the question an operator asks in the first week: not what is this value, but what was this supposed to achieve.</w:t>
      </w:r>
    </w:p>
    <w:p>
      <w:pPr>
        <w:pStyle w:val="Heading2"/>
      </w:pPr>
      <w:r>
        <w:rPr>
          <w:color w:val="8C6D46"/>
        </w:rPr>
        <w:t xml:space="preserve">10.2</w:t>
      </w:r>
      <w:r>
        <w:t xml:space="preserve">  </w:t>
      </w:r>
      <w:r>
        <w:t xml:space="preserve">The intent classes</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2100"/>
        <w:gridCol w:w="6972"/>
      </w:tblGrid>
      <w:tr>
        <w:trPr>
          <w:cantSplit/>
          <w:tblHeader/>
        </w:trPr>
        <w:tc>
          <w:tcPr>
            <w:tcW w:type="dxa" w:w="21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Class</w:t>
            </w:r>
          </w:p>
        </w:tc>
        <w:tc>
          <w:tcPr>
            <w:tcW w:type="dxa" w:w="69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What it carries</w:t>
            </w:r>
          </w:p>
        </w:tc>
      </w:tr>
      <w:tr>
        <w:trPr>
          <w:cantSplit/>
        </w:trPr>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bus:Objective</w:t>
            </w:r>
          </w:p>
        </w:tc>
        <w:tc>
          <w:tcPr>
            <w:tcW w:type="dxa" w:w="6972"/>
            <w:shd w:fill="FFFFFF" w:color="auto" w:val="clear"/>
            <w:tcMar>
              <w:top w:type="dxa" w:w="120"/>
              <w:left w:type="dxa" w:w="160"/>
              <w:bottom w:type="dxa" w:w="120"/>
              <w:right w:type="dxa" w:w="160"/>
            </w:tcMar>
            <w:vAlign w:val="top"/>
          </w:tcPr>
          <w:p>
            <w:pPr>
              <w:spacing w:after="0" w:line="260"/>
            </w:pPr>
            <w:r>
              <w:rPr>
                <w:sz w:val="18"/>
                <w:szCs w:val="18"/>
              </w:rPr>
              <w:t xml:space="preserve">What is to be achieved, its rationale, a category, and a priority. Prose, deliberately.</w:t>
            </w:r>
          </w:p>
        </w:tc>
      </w:tr>
      <w:tr>
        <w:trPr>
          <w:cantSplit/>
        </w:trPr>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bus:Target</w:t>
            </w:r>
          </w:p>
        </w:tc>
        <w:tc>
          <w:tcPr>
            <w:tcW w:type="dxa" w:w="6972"/>
            <w:shd w:fill="FAF9F6" w:color="auto" w:val="clear"/>
            <w:tcMar>
              <w:top w:type="dxa" w:w="120"/>
              <w:left w:type="dxa" w:w="160"/>
              <w:bottom w:type="dxa" w:w="120"/>
              <w:right w:type="dxa" w:w="160"/>
            </w:tcMar>
            <w:vAlign w:val="top"/>
          </w:tcPr>
          <w:p>
            <w:pPr>
              <w:spacing w:after="0" w:line="260"/>
            </w:pPr>
            <w:r>
              <w:rPr>
                <w:sz w:val="18"/>
                <w:szCs w:val="18"/>
              </w:rPr>
              <w:t xml:space="preserve">A quantified expectation attached to a point or quantity kind: a value or range, a tolerance, a condition, and a schedule reference.</w:t>
            </w:r>
          </w:p>
        </w:tc>
      </w:tr>
      <w:tr>
        <w:trPr>
          <w:cantSplit/>
        </w:trPr>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bus:Constraint</w:t>
            </w:r>
          </w:p>
        </w:tc>
        <w:tc>
          <w:tcPr>
            <w:tcW w:type="dxa" w:w="6972"/>
            <w:shd w:fill="FFFFFF" w:color="auto" w:val="clear"/>
            <w:tcMar>
              <w:top w:type="dxa" w:w="120"/>
              <w:left w:type="dxa" w:w="160"/>
              <w:bottom w:type="dxa" w:w="120"/>
              <w:right w:type="dxa" w:w="160"/>
            </w:tcMar>
            <w:vAlign w:val="top"/>
          </w:tcPr>
          <w:p>
            <w:pPr>
              <w:spacing w:after="0" w:line="260"/>
            </w:pPr>
            <w:r>
              <w:rPr>
                <w:sz w:val="18"/>
                <w:szCs w:val="18"/>
              </w:rPr>
              <w:t xml:space="preserve">A limit that holds regardless of objectives, with a </w:t>
            </w:r>
            <w:r>
              <w:rPr>
                <w:rFonts w:ascii="Consolas" w:cs="Consolas" w:eastAsia="Consolas" w:hAnsi="Consolas"/>
                <w:color w:val="1A1D21"/>
                <w:sz w:val="15"/>
                <w:szCs w:val="15"/>
                <w:shd w:fill="F2F1ED" w:color="auto" w:val="clear"/>
              </w:rPr>
              <w:t xml:space="preserve">constraintKind</w:t>
            </w:r>
            <w:r>
              <w:rPr>
                <w:sz w:val="18"/>
                <w:szCs w:val="18"/>
              </w:rPr>
              <w:t xml:space="preserve"> of safety, limit, deadband, interlock, regulatory, warranty, or operational.</w:t>
            </w:r>
          </w:p>
        </w:tc>
      </w:tr>
      <w:tr>
        <w:trPr>
          <w:cantSplit/>
        </w:trPr>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bus:Schedule</w:t>
            </w:r>
          </w:p>
        </w:tc>
        <w:tc>
          <w:tcPr>
            <w:tcW w:type="dxa" w:w="6972"/>
            <w:shd w:fill="FAF9F6" w:color="auto" w:val="clear"/>
            <w:tcMar>
              <w:top w:type="dxa" w:w="120"/>
              <w:left w:type="dxa" w:w="160"/>
              <w:bottom w:type="dxa" w:w="120"/>
              <w:right w:type="dxa" w:w="160"/>
            </w:tcMar>
            <w:vAlign w:val="top"/>
          </w:tcPr>
          <w:p>
            <w:pPr>
              <w:spacing w:after="0" w:line="260"/>
            </w:pPr>
            <w:r>
              <w:rPr>
                <w:sz w:val="18"/>
                <w:szCs w:val="18"/>
              </w:rPr>
              <w:t xml:space="preserve">When intent applies. Segments carry an [RFC5545] recurrence rule, local clock bounds, and a value. Exceptions carry explicit dates.</w:t>
            </w:r>
          </w:p>
        </w:tc>
      </w:tr>
    </w:tbl>
    <w:p>
      <w:pPr>
        <w:pStyle w:val="BodyCopy"/>
      </w:pPr>
      <w:r>
        <w:t xml:space="preserve">Each is separately addressable, which is what makes it possible to say twenty years later that </w:t>
      </w:r>
      <w:r>
        <w:rPr>
          <w:i/>
          <w:iCs/>
        </w:rPr>
        <w:t xml:space="preserve">this specific target</w:t>
      </w:r>
      <w:r>
        <w:t xml:space="preserve"> was relaxed on a date, by a person, for a reason. A composite intent object is easier to author and blurs exactly that audit trail; authoring convenience is a tooling problem and addressability is not.</w:t>
      </w:r>
    </w:p>
    <w:p>
      <w:pPr>
        <w:pStyle w:val="BodyCopy"/>
      </w:pPr>
      <w:r>
        <w:rPr>
          <w:rFonts w:ascii="Consolas" w:cs="Consolas" w:eastAsia="Consolas" w:hAnsi="Consolas"/>
          <w:color w:val="1A1D21"/>
          <w:sz w:val="18"/>
          <w:szCs w:val="18"/>
          <w:shd w:fill="F2F1ED" w:color="auto" w:val="clear"/>
        </w:rPr>
        <w:t xml:space="preserve">bus:Objective</w:t>
      </w:r>
      <w:r>
        <w:t xml:space="preserve"> is prose because objectives are not reducible without loss. The rationale field carries what a later engineer most needs and most rarely gets: why the number is what it is.</w:t>
      </w:r>
    </w:p>
    <w:p>
      <w:pPr>
        <w:pStyle w:val="Heading2"/>
      </w:pPr>
      <w:r>
        <w:rPr>
          <w:color w:val="8C6D46"/>
        </w:rPr>
        <w:t xml:space="preserve">10.3</w:t>
      </w:r>
      <w:r>
        <w:t xml:space="preserve">  </w:t>
      </w:r>
      <w:r>
        <w:t xml:space="preserve">Sequences</w:t>
      </w:r>
    </w:p>
    <w:p>
      <w:pPr>
        <w:pStyle w:val="BodyCopy"/>
      </w:pPr>
      <w:r>
        <w:rPr>
          <w:rFonts w:ascii="Consolas" w:cs="Consolas" w:eastAsia="Consolas" w:hAnsi="Consolas"/>
          <w:color w:val="1A1D21"/>
          <w:sz w:val="18"/>
          <w:szCs w:val="18"/>
          <w:shd w:fill="F2F1ED" w:color="auto" w:val="clear"/>
        </w:rPr>
        <w:t xml:space="preserve">bus:Sequence</w:t>
      </w:r>
      <w:r>
        <w:t xml:space="preserve"> is the logic that implements an intent, connected by </w:t>
      </w:r>
      <w:r>
        <w:rPr>
          <w:rFonts w:ascii="Consolas" w:cs="Consolas" w:eastAsia="Consolas" w:hAnsi="Consolas"/>
          <w:color w:val="1A1D21"/>
          <w:sz w:val="18"/>
          <w:szCs w:val="18"/>
          <w:shd w:fill="F2F1ED" w:color="auto" w:val="clear"/>
        </w:rPr>
        <w:t xml:space="preserve">bus:implements</w:t>
      </w:r>
      <w:r>
        <w:t xml:space="preserve">. It is not part of intent. A sequence names the </w:t>
      </w:r>
      <w:r>
        <w:rPr>
          <w:rFonts w:ascii="Consolas" w:cs="Consolas" w:eastAsia="Consolas" w:hAnsi="Consolas"/>
          <w:color w:val="1A1D21"/>
          <w:sz w:val="18"/>
          <w:szCs w:val="18"/>
          <w:shd w:fill="F2F1ED" w:color="auto" w:val="clear"/>
        </w:rPr>
        <w:t xml:space="preserve">language</w:t>
      </w:r>
      <w:r>
        <w:t xml:space="preserve"> it is written in — </w:t>
      </w:r>
      <w:r>
        <w:rPr>
          <w:rFonts w:ascii="Consolas" w:cs="Consolas" w:eastAsia="Consolas" w:hAnsi="Consolas"/>
          <w:color w:val="1A1D21"/>
          <w:sz w:val="18"/>
          <w:szCs w:val="18"/>
          <w:shd w:fill="F2F1ED" w:color="auto" w:val="clear"/>
        </w:rPr>
        <w:t xml:space="preserve">prose</w:t>
      </w:r>
      <w:r>
        <w:t xml:space="preserve">, </w:t>
      </w:r>
      <w:r>
        <w:rPr>
          <w:rFonts w:ascii="Consolas" w:cs="Consolas" w:eastAsia="Consolas" w:hAnsi="Consolas"/>
          <w:color w:val="1A1D21"/>
          <w:sz w:val="18"/>
          <w:szCs w:val="18"/>
          <w:shd w:fill="F2F1ED" w:color="auto" w:val="clear"/>
        </w:rPr>
        <w:t xml:space="preserve">ashrae-231-cdl</w:t>
      </w:r>
      <w:r>
        <w:t xml:space="preserve">, </w:t>
      </w:r>
      <w:r>
        <w:rPr>
          <w:rFonts w:ascii="Consolas" w:cs="Consolas" w:eastAsia="Consolas" w:hAnsi="Consolas"/>
          <w:color w:val="1A1D21"/>
          <w:sz w:val="18"/>
          <w:szCs w:val="18"/>
          <w:shd w:fill="F2F1ED" w:color="auto" w:val="clear"/>
        </w:rPr>
        <w:t xml:space="preserve">ashrae-guideline-36</w:t>
      </w:r>
      <w:r>
        <w:t xml:space="preserve">, </w:t>
      </w:r>
      <w:r>
        <w:rPr>
          <w:rFonts w:ascii="Consolas" w:cs="Consolas" w:eastAsia="Consolas" w:hAnsi="Consolas"/>
          <w:color w:val="1A1D21"/>
          <w:sz w:val="18"/>
          <w:szCs w:val="18"/>
          <w:shd w:fill="F2F1ED" w:color="auto" w:val="clear"/>
        </w:rPr>
        <w:t xml:space="preserve">iec-61131-3</w:t>
      </w:r>
      <w:r>
        <w:t xml:space="preserve">, or </w:t>
      </w:r>
      <w:r>
        <w:rPr>
          <w:rFonts w:ascii="Consolas" w:cs="Consolas" w:eastAsia="Consolas" w:hAnsi="Consolas"/>
          <w:color w:val="1A1D21"/>
          <w:sz w:val="18"/>
          <w:szCs w:val="18"/>
          <w:shd w:fill="F2F1ED" w:color="auto" w:val="clear"/>
        </w:rPr>
        <w:t xml:space="preserve">vendor</w:t>
      </w:r>
      <w:r>
        <w:t xml:space="preserve"> — and carries either inline source or a resource reference.</w:t>
      </w:r>
    </w:p>
    <w:p>
      <w:pPr>
        <w:pStyle w:val="NoteCopy"/>
      </w:pPr>
      <w:r>
        <w:rPr>
          <w:b/>
          <w:bCs/>
          <w:color w:val="70757C"/>
          <w:sz w:val="18"/>
          <w:szCs w:val="18"/>
        </w:rPr>
        <w:t xml:space="preserve">NOTE </w:t>
      </w:r>
      <w:r>
        <w:rPr>
          <w:color w:val="70757C"/>
          <w:sz w:val="18"/>
          <w:szCs w:val="18"/>
        </w:rPr>
        <w:t xml:space="preserve">ANSI/ASHRAE Standard 231-2026, Control Description Language, published February 2026, is the first citable machine-readable form for control sequences. It is design-time: it describes what logic should be, not what a deployed controller is running. BUS-1 references sequences rather than extracting them for that reason, and extraction remains open (Annex E).</w:t>
      </w:r>
    </w:p>
    <w:p>
      <w:pPr>
        <w:pStyle w:val="Heading2"/>
      </w:pPr>
      <w:r>
        <w:rPr>
          <w:color w:val="8C6D46"/>
        </w:rPr>
        <w:t xml:space="preserve">10.4</w:t>
      </w:r>
      <w:r>
        <w:t xml:space="preserve">  </w:t>
      </w:r>
      <w:r>
        <w:t xml:space="preserve">Constraints and safety</w:t>
      </w:r>
    </w:p>
    <w:tbl>
      <w:tblPr>
        <w:tblW w:type="dxa" w:w="9072"/>
        <w:tblBorders>
          <w:top w:val="none" w:color="FFFFFF" w:sz="0"/>
          <w:left w:val="single" w:color="8C6D46" w:sz="24"/>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F5F3EE" w:color="auto" w:val="clear"/>
            <w:tcMar>
              <w:top w:type="dxa" w:w="200"/>
              <w:left w:type="dxa" w:w="260"/>
              <w:bottom w:type="dxa" w:w="200"/>
              <w:right w:type="dxa" w:w="260"/>
            </w:tcMar>
          </w:tcPr>
          <w:p>
            <w:pPr>
              <w:spacing w:after="80"/>
            </w:pPr>
            <w:r>
              <w:rPr>
                <w:rFonts w:ascii="Georgia" w:cs="Georgia" w:eastAsia="Georgia" w:hAnsi="Georgia"/>
                <w:b/>
                <w:bCs/>
                <w:color w:val="1A1D21"/>
                <w:sz w:val="22"/>
                <w:szCs w:val="22"/>
              </w:rPr>
              <w:t xml:space="preserve">Requirement 10.4-1</w:t>
            </w:r>
          </w:p>
          <w:p>
            <w:pPr>
              <w:spacing w:after="0" w:line="280"/>
            </w:pPr>
            <w:r>
              <w:rPr>
                <w:sz w:val="20"/>
                <w:szCs w:val="20"/>
              </w:rPr>
              <w:t xml:space="preserve">An importer </w:t>
            </w:r>
            <w:r>
              <w:rPr>
                <w:b/>
                <w:bCs/>
                <w:color w:val="8C6D46"/>
                <w:sz w:val="20"/>
                <w:szCs w:val="20"/>
              </w:rPr>
              <w:t xml:space="preserve">MUST</w:t>
            </w:r>
            <w:r>
              <w:rPr>
                <w:sz w:val="20"/>
                <w:szCs w:val="20"/>
              </w:rPr>
              <w:t xml:space="preserve"> preserve every constraint and </w:t>
            </w:r>
            <w:r>
              <w:rPr>
                <w:b/>
                <w:bCs/>
                <w:color w:val="8C6D46"/>
                <w:sz w:val="20"/>
                <w:szCs w:val="20"/>
              </w:rPr>
              <w:t xml:space="preserve">MUST NOT</w:t>
            </w:r>
            <w:r>
              <w:rPr>
                <w:sz w:val="20"/>
                <w:szCs w:val="20"/>
              </w:rPr>
              <w:t xml:space="preserve"> relax, widen, or discard a constraint whose expression it cannot evaluate. Where a constraint cannot be enforced by the receiving system, the importer </w:t>
            </w:r>
            <w:r>
              <w:rPr>
                <w:b/>
                <w:bCs/>
                <w:color w:val="8C6D46"/>
                <w:sz w:val="20"/>
                <w:szCs w:val="20"/>
              </w:rPr>
              <w:t xml:space="preserve">MUST</w:t>
            </w:r>
            <w:r>
              <w:rPr>
                <w:sz w:val="20"/>
                <w:szCs w:val="20"/>
              </w:rPr>
              <w:t xml:space="preserve"> report it as unenforced rather than treating it as satisfied. A safety limit that survives migration as an uninterpreted note is recoverable; one that survives as an assumption is not.</w:t>
            </w:r>
          </w:p>
        </w:tc>
      </w:tr>
    </w:tbl>
    <w:p>
      <w:pPr>
        <w:spacing w:after="120"/>
      </w:pPr>
      <w:r>
        <w:rPr>
          <w:sz w:val="2"/>
          <w:szCs w:val="2"/>
        </w:rPr>
        <w:t xml:space="preserve"/>
      </w:r>
    </w:p>
    <w:p>
      <w:pPr>
        <w:pStyle w:val="BodyCopy"/>
      </w:pPr>
      <w:r>
        <w:t xml:space="preserve">A constraint </w:t>
      </w:r>
      <w:r>
        <w:rPr>
          <w:b/>
          <w:bCs/>
          <w:color w:val="8C6D46"/>
        </w:rPr>
        <w:t xml:space="preserve">MAY</w:t>
      </w:r>
      <w:r>
        <w:t xml:space="preserve"> carry a machine-readable </w:t>
      </w:r>
      <w:r>
        <w:rPr>
          <w:rFonts w:ascii="Consolas" w:cs="Consolas" w:eastAsia="Consolas" w:hAnsi="Consolas"/>
          <w:color w:val="1A1D21"/>
          <w:sz w:val="18"/>
          <w:szCs w:val="18"/>
          <w:shd w:fill="F2F1ED" w:color="auto" w:val="clear"/>
        </w:rPr>
        <w:t xml:space="preserve">expression</w:t>
      </w:r>
      <w:r>
        <w:t xml:space="preserve">, which </w:t>
      </w:r>
      <w:r>
        <w:rPr>
          <w:b/>
          <w:bCs/>
          <w:color w:val="8C6D46"/>
        </w:rPr>
        <w:t xml:space="preserve">MUST</w:t>
      </w:r>
      <w:r>
        <w:t xml:space="preserve"> name its </w:t>
      </w:r>
      <w:r>
        <w:rPr>
          <w:rFonts w:ascii="Consolas" w:cs="Consolas" w:eastAsia="Consolas" w:hAnsi="Consolas"/>
          <w:color w:val="1A1D21"/>
          <w:sz w:val="18"/>
          <w:szCs w:val="18"/>
          <w:shd w:fill="F2F1ED" w:color="auto" w:val="clear"/>
        </w:rPr>
        <w:t xml:space="preserve">language</w:t>
      </w:r>
      <w:r>
        <w:t xml:space="preserve">. This standard does not define an expression language and does not require a receiver to evaluate one. Naming the language is what lets a receiver decide honestly whether it can.</w:t>
      </w:r>
    </w:p>
    <w:p>
      <w:pPr>
        <w:pStyle w:val="BodyCopy"/>
      </w:pPr>
      <w:r>
        <w:t xml:space="preserve">Constraints are also referenced from write bindings (13.7), so that a limit enforced at the graphic is the same limit recorded in the model rather than a second copy that will diverge.</w:t>
      </w:r>
    </w:p>
    <w:p>
      <w:pPr>
        <w:pStyle w:val="Heading1"/>
      </w:pPr>
      <w:r>
        <w:rPr>
          <w:rFonts w:ascii="Georgia" w:cs="Georgia" w:eastAsia="Georgia" w:hAnsi="Georgia"/>
          <w:color w:val="8C6D46"/>
        </w:rPr>
        <w:t xml:space="preserve">11</w:t>
      </w:r>
      <w:r>
        <w:t xml:space="preserve">  </w:t>
      </w:r>
      <w:r>
        <w:t xml:space="preserve">Alarms</w:t>
      </w:r>
    </w:p>
    <w:p>
      <w:pPr>
        <w:spacing w:after="160" w:before="0"/>
      </w:pPr>
      <w:r>
        <w:rPr>
          <w:rFonts w:ascii="Calibri" w:cs="Calibri" w:eastAsia="Calibri" w:hAnsi="Calibri"/>
          <w:b/>
          <w:bCs/>
          <w:color w:val="8C6D46"/>
          <w:spacing w:val="40"/>
          <w:sz w:val="14"/>
          <w:szCs w:val="14"/>
        </w:rPr>
        <w:t xml:space="preserve">AGREED</w:t>
      </w:r>
      <w:r>
        <w:t xml:space="preserve">   </w:t>
      </w:r>
      <w:r>
        <w:rPr>
          <w:i/>
          <w:iCs/>
          <w:color w:val="70757C"/>
          <w:sz w:val="17"/>
          <w:szCs w:val="17"/>
        </w:rPr>
        <w:t xml:space="preserve">New in v0.2. v0.1 represented alarms as a point kind and a boolean flag, which carried almost none of the configuration.</w:t>
      </w:r>
    </w:p>
    <w:p>
      <w:pPr>
        <w:pStyle w:val="Heading2"/>
      </w:pPr>
      <w:r>
        <w:rPr>
          <w:color w:val="8C6D46"/>
        </w:rPr>
        <w:t xml:space="preserve">11.1</w:t>
      </w:r>
      <w:r>
        <w:t xml:space="preserve">  </w:t>
      </w:r>
      <w:r>
        <w:t xml:space="preserve">Alarm definitions are intent</w:t>
      </w:r>
    </w:p>
    <w:p>
      <w:pPr>
        <w:pStyle w:val="BodyCopy"/>
      </w:pPr>
      <w:r>
        <w:t xml:space="preserve">An alarm definition states a condition under which the building is to draw attention to itself, and what is to happen then. Limits, delays, priorities, routing, and acknowledgment policy are engineered decisions about how the building should behave, which places them in intent rather than in configuration.</w:t>
      </w:r>
    </w:p>
    <w:p>
      <w:pPr>
        <w:pStyle w:val="BodyCopy"/>
      </w:pPr>
      <w:r>
        <w:rPr>
          <w:rFonts w:ascii="Consolas" w:cs="Consolas" w:eastAsia="Consolas" w:hAnsi="Consolas"/>
          <w:color w:val="1A1D21"/>
          <w:sz w:val="18"/>
          <w:szCs w:val="18"/>
          <w:shd w:fill="F2F1ED" w:color="auto" w:val="clear"/>
        </w:rPr>
        <w:t xml:space="preserve">bus:AlarmDefinition</w:t>
      </w:r>
      <w:r>
        <w:t xml:space="preserve"> is attached to its subject by </w:t>
      </w:r>
      <w:r>
        <w:rPr>
          <w:rFonts w:ascii="Consolas" w:cs="Consolas" w:eastAsia="Consolas" w:hAnsi="Consolas"/>
          <w:color w:val="1A1D21"/>
          <w:sz w:val="18"/>
          <w:szCs w:val="18"/>
          <w:shd w:fill="F2F1ED" w:color="auto" w:val="clear"/>
        </w:rPr>
        <w:t xml:space="preserve">bus:appliesTo</w:t>
      </w:r>
      <w:r>
        <w:t xml:space="preserve">.</w:t>
      </w:r>
    </w:p>
    <w:p>
      <w:pPr>
        <w:pStyle w:val="Heading2"/>
      </w:pPr>
      <w:r>
        <w:rPr>
          <w:color w:val="8C6D46"/>
        </w:rPr>
        <w:t xml:space="preserve">11.2</w:t>
      </w:r>
      <w:r>
        <w:t xml:space="preserve">  </w:t>
      </w:r>
      <w:r>
        <w:t xml:space="preserve">Content</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2400"/>
        <w:gridCol w:w="6672"/>
      </w:tblGrid>
      <w:tr>
        <w:trPr>
          <w:cantSplit/>
          <w:tblHeader/>
        </w:trPr>
        <w:tc>
          <w:tcPr>
            <w:tcW w:type="dxa" w:w="24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Field</w:t>
            </w:r>
          </w:p>
        </w:tc>
        <w:tc>
          <w:tcPr>
            <w:tcW w:type="dxa" w:w="66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Requirement</w:t>
            </w:r>
          </w:p>
        </w:tc>
      </w:tr>
      <w:tr>
        <w:trPr>
          <w:cantSplit/>
        </w:trPr>
        <w:tc>
          <w:tcPr>
            <w:tcW w:type="dxa" w:w="24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alarmKind</w:t>
            </w:r>
          </w:p>
        </w:tc>
        <w:tc>
          <w:tcPr>
            <w:tcW w:type="dxa" w:w="6672"/>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REQUIRED</w:t>
            </w:r>
            <w:r>
              <w:rPr>
                <w:sz w:val="18"/>
                <w:szCs w:val="18"/>
              </w:rPr>
              <w:t xml:space="preserve">. </w:t>
            </w:r>
            <w:r>
              <w:rPr>
                <w:rFonts w:ascii="Consolas" w:cs="Consolas" w:eastAsia="Consolas" w:hAnsi="Consolas"/>
                <w:color w:val="1A1D21"/>
                <w:sz w:val="15"/>
                <w:szCs w:val="15"/>
                <w:shd w:fill="F2F1ED" w:color="auto" w:val="clear"/>
              </w:rPr>
              <w:t xml:space="preserve">limit</w:t>
            </w:r>
            <w:r>
              <w:rPr>
                <w:sz w:val="18"/>
                <w:szCs w:val="18"/>
              </w:rPr>
              <w:t xml:space="preserve">, </w:t>
            </w:r>
            <w:r>
              <w:rPr>
                <w:rFonts w:ascii="Consolas" w:cs="Consolas" w:eastAsia="Consolas" w:hAnsi="Consolas"/>
                <w:color w:val="1A1D21"/>
                <w:sz w:val="15"/>
                <w:szCs w:val="15"/>
                <w:shd w:fill="F2F1ED" w:color="auto" w:val="clear"/>
              </w:rPr>
              <w:t xml:space="preserve">deviation</w:t>
            </w:r>
            <w:r>
              <w:rPr>
                <w:sz w:val="18"/>
                <w:szCs w:val="18"/>
              </w:rPr>
              <w:t xml:space="preserve">, </w:t>
            </w:r>
            <w:r>
              <w:rPr>
                <w:rFonts w:ascii="Consolas" w:cs="Consolas" w:eastAsia="Consolas" w:hAnsi="Consolas"/>
                <w:color w:val="1A1D21"/>
                <w:sz w:val="15"/>
                <w:szCs w:val="15"/>
                <w:shd w:fill="F2F1ED" w:color="auto" w:val="clear"/>
              </w:rPr>
              <w:t xml:space="preserve">rateOfChange</w:t>
            </w:r>
            <w:r>
              <w:rPr>
                <w:sz w:val="18"/>
                <w:szCs w:val="18"/>
              </w:rPr>
              <w:t xml:space="preserve">, </w:t>
            </w:r>
            <w:r>
              <w:rPr>
                <w:rFonts w:ascii="Consolas" w:cs="Consolas" w:eastAsia="Consolas" w:hAnsi="Consolas"/>
                <w:color w:val="1A1D21"/>
                <w:sz w:val="15"/>
                <w:szCs w:val="15"/>
                <w:shd w:fill="F2F1ED" w:color="auto" w:val="clear"/>
              </w:rPr>
              <w:t xml:space="preserve">status</w:t>
            </w:r>
            <w:r>
              <w:rPr>
                <w:sz w:val="18"/>
                <w:szCs w:val="18"/>
              </w:rPr>
              <w:t xml:space="preserve">, </w:t>
            </w:r>
            <w:r>
              <w:rPr>
                <w:rFonts w:ascii="Consolas" w:cs="Consolas" w:eastAsia="Consolas" w:hAnsi="Consolas"/>
                <w:color w:val="1A1D21"/>
                <w:sz w:val="15"/>
                <w:szCs w:val="15"/>
                <w:shd w:fill="F2F1ED" w:color="auto" w:val="clear"/>
              </w:rPr>
              <w:t xml:space="preserve">digital</w:t>
            </w:r>
            <w:r>
              <w:rPr>
                <w:sz w:val="18"/>
                <w:szCs w:val="18"/>
              </w:rPr>
              <w:t xml:space="preserve">, </w:t>
            </w:r>
            <w:r>
              <w:rPr>
                <w:rFonts w:ascii="Consolas" w:cs="Consolas" w:eastAsia="Consolas" w:hAnsi="Consolas"/>
                <w:color w:val="1A1D21"/>
                <w:sz w:val="15"/>
                <w:szCs w:val="15"/>
                <w:shd w:fill="F2F1ED" w:color="auto" w:val="clear"/>
              </w:rPr>
              <w:t xml:space="preserve">calculated</w:t>
            </w:r>
            <w:r>
              <w:rPr>
                <w:sz w:val="18"/>
                <w:szCs w:val="18"/>
              </w:rPr>
              <w:t xml:space="preserve">, or </w:t>
            </w:r>
            <w:r>
              <w:rPr>
                <w:rFonts w:ascii="Consolas" w:cs="Consolas" w:eastAsia="Consolas" w:hAnsi="Consolas"/>
                <w:color w:val="1A1D21"/>
                <w:sz w:val="15"/>
                <w:szCs w:val="15"/>
                <w:shd w:fill="F2F1ED" w:color="auto" w:val="clear"/>
              </w:rPr>
              <w:t xml:space="preserve">communication</w:t>
            </w:r>
            <w:r>
              <w:rPr>
                <w:sz w:val="18"/>
                <w:szCs w:val="18"/>
              </w:rPr>
              <w:t xml:space="preserve">.</w:t>
            </w:r>
          </w:p>
        </w:tc>
      </w:tr>
      <w:tr>
        <w:trPr>
          <w:cantSplit/>
        </w:trPr>
        <w:tc>
          <w:tcPr>
            <w:tcW w:type="dxa" w:w="24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severity</w:t>
            </w:r>
            <w:r>
              <w:rPr>
                <w:sz w:val="18"/>
                <w:szCs w:val="18"/>
              </w:rPr>
              <w:t xml:space="preserve">, </w:t>
            </w:r>
            <w:r>
              <w:rPr>
                <w:rFonts w:ascii="Consolas" w:cs="Consolas" w:eastAsia="Consolas" w:hAnsi="Consolas"/>
                <w:color w:val="1A1D21"/>
                <w:sz w:val="15"/>
                <w:szCs w:val="15"/>
                <w:shd w:fill="F2F1ED" w:color="auto" w:val="clear"/>
              </w:rPr>
              <w:t xml:space="preserve">priority</w:t>
            </w:r>
          </w:p>
        </w:tc>
        <w:tc>
          <w:tcPr>
            <w:tcW w:type="dxa" w:w="6672"/>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RECOMMENDED</w:t>
            </w:r>
            <w:r>
              <w:rPr>
                <w:sz w:val="18"/>
                <w:szCs w:val="18"/>
              </w:rPr>
              <w:t xml:space="preserve">. </w:t>
            </w:r>
            <w:r>
              <w:rPr>
                <w:rFonts w:ascii="Consolas" w:cs="Consolas" w:eastAsia="Consolas" w:hAnsi="Consolas"/>
                <w:color w:val="1A1D21"/>
                <w:sz w:val="15"/>
                <w:szCs w:val="15"/>
                <w:shd w:fill="F2F1ED" w:color="auto" w:val="clear"/>
              </w:rPr>
              <w:t xml:space="preserve">priority</w:t>
            </w:r>
            <w:r>
              <w:rPr>
                <w:sz w:val="18"/>
                <w:szCs w:val="18"/>
              </w:rPr>
              <w:t xml:space="preserve"> is the source system value, preserved verbatim, not normalized to a BUS scale.</w:t>
            </w:r>
          </w:p>
        </w:tc>
      </w:tr>
      <w:tr>
        <w:trPr>
          <w:cantSplit/>
        </w:trPr>
        <w:tc>
          <w:tcPr>
            <w:tcW w:type="dxa" w:w="24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limits</w:t>
            </w:r>
          </w:p>
        </w:tc>
        <w:tc>
          <w:tcPr>
            <w:tcW w:type="dxa" w:w="6672"/>
            <w:shd w:fill="FFFFFF" w:color="auto" w:val="clear"/>
            <w:tcMar>
              <w:top w:type="dxa" w:w="120"/>
              <w:left w:type="dxa" w:w="160"/>
              <w:bottom w:type="dxa" w:w="120"/>
              <w:right w:type="dxa" w:w="160"/>
            </w:tcMar>
            <w:vAlign w:val="top"/>
          </w:tcPr>
          <w:p>
            <w:pPr>
              <w:spacing w:after="0" w:line="260"/>
            </w:pPr>
            <w:r>
              <w:rPr>
                <w:sz w:val="18"/>
                <w:szCs w:val="18"/>
              </w:rPr>
              <w:t xml:space="preserve">For limit and deviation alarms: </w:t>
            </w:r>
            <w:r>
              <w:rPr>
                <w:rFonts w:ascii="Consolas" w:cs="Consolas" w:eastAsia="Consolas" w:hAnsi="Consolas"/>
                <w:color w:val="1A1D21"/>
                <w:sz w:val="15"/>
                <w:szCs w:val="15"/>
                <w:shd w:fill="F2F1ED" w:color="auto" w:val="clear"/>
              </w:rPr>
              <w:t xml:space="preserve">highHigh</w:t>
            </w:r>
            <w:r>
              <w:rPr>
                <w:sz w:val="18"/>
                <w:szCs w:val="18"/>
              </w:rPr>
              <w:t xml:space="preserve">, </w:t>
            </w:r>
            <w:r>
              <w:rPr>
                <w:rFonts w:ascii="Consolas" w:cs="Consolas" w:eastAsia="Consolas" w:hAnsi="Consolas"/>
                <w:color w:val="1A1D21"/>
                <w:sz w:val="15"/>
                <w:szCs w:val="15"/>
                <w:shd w:fill="F2F1ED" w:color="auto" w:val="clear"/>
              </w:rPr>
              <w:t xml:space="preserve">high</w:t>
            </w:r>
            <w:r>
              <w:rPr>
                <w:sz w:val="18"/>
                <w:szCs w:val="18"/>
              </w:rPr>
              <w:t xml:space="preserve">, </w:t>
            </w:r>
            <w:r>
              <w:rPr>
                <w:rFonts w:ascii="Consolas" w:cs="Consolas" w:eastAsia="Consolas" w:hAnsi="Consolas"/>
                <w:color w:val="1A1D21"/>
                <w:sz w:val="15"/>
                <w:szCs w:val="15"/>
                <w:shd w:fill="F2F1ED" w:color="auto" w:val="clear"/>
              </w:rPr>
              <w:t xml:space="preserve">low</w:t>
            </w:r>
            <w:r>
              <w:rPr>
                <w:sz w:val="18"/>
                <w:szCs w:val="18"/>
              </w:rPr>
              <w:t xml:space="preserve">, </w:t>
            </w:r>
            <w:r>
              <w:rPr>
                <w:rFonts w:ascii="Consolas" w:cs="Consolas" w:eastAsia="Consolas" w:hAnsi="Consolas"/>
                <w:color w:val="1A1D21"/>
                <w:sz w:val="15"/>
                <w:szCs w:val="15"/>
                <w:shd w:fill="F2F1ED" w:color="auto" w:val="clear"/>
              </w:rPr>
              <w:t xml:space="preserve">lowLow</w:t>
            </w:r>
            <w:r>
              <w:rPr>
                <w:sz w:val="18"/>
                <w:szCs w:val="18"/>
              </w:rPr>
              <w:t xml:space="preserve">, </w:t>
            </w:r>
            <w:r>
              <w:rPr>
                <w:rFonts w:ascii="Consolas" w:cs="Consolas" w:eastAsia="Consolas" w:hAnsi="Consolas"/>
                <w:color w:val="1A1D21"/>
                <w:sz w:val="15"/>
                <w:szCs w:val="15"/>
                <w:shd w:fill="F2F1ED" w:color="auto" w:val="clear"/>
              </w:rPr>
              <w:t xml:space="preserve">deviation</w:t>
            </w:r>
            <w:r>
              <w:rPr>
                <w:sz w:val="18"/>
                <w:szCs w:val="18"/>
              </w:rPr>
              <w:t xml:space="preserve">, and a </w:t>
            </w:r>
            <w:r>
              <w:rPr>
                <w:rFonts w:ascii="Consolas" w:cs="Consolas" w:eastAsia="Consolas" w:hAnsi="Consolas"/>
                <w:color w:val="1A1D21"/>
                <w:sz w:val="15"/>
                <w:szCs w:val="15"/>
                <w:shd w:fill="F2F1ED" w:color="auto" w:val="clear"/>
              </w:rPr>
              <w:t xml:space="preserve">referenceRef</w:t>
            </w:r>
            <w:r>
              <w:rPr>
                <w:sz w:val="18"/>
                <w:szCs w:val="18"/>
              </w:rPr>
              <w:t xml:space="preserve"> for deviation from a setpoint.</w:t>
            </w:r>
          </w:p>
        </w:tc>
      </w:tr>
      <w:tr>
        <w:trPr>
          <w:cantSplit/>
        </w:trPr>
        <w:tc>
          <w:tcPr>
            <w:tcW w:type="dxa" w:w="24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triggerStates</w:t>
            </w:r>
          </w:p>
        </w:tc>
        <w:tc>
          <w:tcPr>
            <w:tcW w:type="dxa" w:w="6672"/>
            <w:shd w:fill="FAF9F6" w:color="auto" w:val="clear"/>
            <w:tcMar>
              <w:top w:type="dxa" w:w="120"/>
              <w:left w:type="dxa" w:w="160"/>
              <w:bottom w:type="dxa" w:w="120"/>
              <w:right w:type="dxa" w:w="160"/>
            </w:tcMar>
            <w:vAlign w:val="top"/>
          </w:tcPr>
          <w:p>
            <w:pPr>
              <w:spacing w:after="0" w:line="260"/>
            </w:pPr>
            <w:r>
              <w:rPr>
                <w:sz w:val="18"/>
                <w:szCs w:val="18"/>
              </w:rPr>
              <w:t xml:space="preserve">For status and digital alarms: the enumeration members that raise the alarm.</w:t>
            </w:r>
          </w:p>
        </w:tc>
      </w:tr>
      <w:tr>
        <w:trPr>
          <w:cantSplit/>
        </w:trPr>
        <w:tc>
          <w:tcPr>
            <w:tcW w:type="dxa" w:w="24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deadband</w:t>
            </w:r>
            <w:r>
              <w:rPr>
                <w:sz w:val="18"/>
                <w:szCs w:val="18"/>
              </w:rPr>
              <w:t xml:space="preserve">, </w:t>
            </w:r>
            <w:r>
              <w:rPr>
                <w:rFonts w:ascii="Consolas" w:cs="Consolas" w:eastAsia="Consolas" w:hAnsi="Consolas"/>
                <w:color w:val="1A1D21"/>
                <w:sz w:val="15"/>
                <w:szCs w:val="15"/>
                <w:shd w:fill="F2F1ED" w:color="auto" w:val="clear"/>
              </w:rPr>
              <w:t xml:space="preserve">onDelay</w:t>
            </w:r>
            <w:r>
              <w:rPr>
                <w:sz w:val="18"/>
                <w:szCs w:val="18"/>
              </w:rPr>
              <w:t xml:space="preserve">, </w:t>
            </w:r>
            <w:r>
              <w:rPr>
                <w:rFonts w:ascii="Consolas" w:cs="Consolas" w:eastAsia="Consolas" w:hAnsi="Consolas"/>
                <w:color w:val="1A1D21"/>
                <w:sz w:val="15"/>
                <w:szCs w:val="15"/>
                <w:shd w:fill="F2F1ED" w:color="auto" w:val="clear"/>
              </w:rPr>
              <w:t xml:space="preserve">offDelay</w:t>
            </w:r>
          </w:p>
        </w:tc>
        <w:tc>
          <w:tcPr>
            <w:tcW w:type="dxa" w:w="6672"/>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RECOMMENDED</w:t>
            </w:r>
            <w:r>
              <w:rPr>
                <w:sz w:val="18"/>
                <w:szCs w:val="18"/>
              </w:rPr>
              <w:t xml:space="preserve">. The timing that separates a real alarm from a nuisance one, and the most common cause of a migrated system flooding.</w:t>
            </w:r>
          </w:p>
        </w:tc>
      </w:tr>
      <w:tr>
        <w:trPr>
          <w:cantSplit/>
        </w:trPr>
        <w:tc>
          <w:tcPr>
            <w:tcW w:type="dxa" w:w="24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requiresAcknowledgement</w:t>
            </w:r>
          </w:p>
        </w:tc>
        <w:tc>
          <w:tcPr>
            <w:tcW w:type="dxa" w:w="6672"/>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RECOMMENDED</w:t>
            </w:r>
            <w:r>
              <w:rPr>
                <w:sz w:val="18"/>
                <w:szCs w:val="18"/>
              </w:rPr>
              <w:t xml:space="preserve">. Operator-safety policy, not interface behavior.</w:t>
            </w:r>
          </w:p>
        </w:tc>
      </w:tr>
      <w:tr>
        <w:trPr>
          <w:cantSplit/>
        </w:trPr>
        <w:tc>
          <w:tcPr>
            <w:tcW w:type="dxa" w:w="24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shelvable</w:t>
            </w:r>
            <w:r>
              <w:rPr>
                <w:sz w:val="18"/>
                <w:szCs w:val="18"/>
              </w:rPr>
              <w:t xml:space="preserve">, </w:t>
            </w:r>
            <w:r>
              <w:rPr>
                <w:rFonts w:ascii="Consolas" w:cs="Consolas" w:eastAsia="Consolas" w:hAnsi="Consolas"/>
                <w:color w:val="1A1D21"/>
                <w:sz w:val="15"/>
                <w:szCs w:val="15"/>
                <w:shd w:fill="F2F1ED" w:color="auto" w:val="clear"/>
              </w:rPr>
              <w:t xml:space="preserve">maxShelveDuration</w:t>
            </w:r>
          </w:p>
        </w:tc>
        <w:tc>
          <w:tcPr>
            <w:tcW w:type="dxa" w:w="6672"/>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OPTIONAL</w:t>
            </w:r>
            <w:r>
              <w:rPr>
                <w:sz w:val="18"/>
                <w:szCs w:val="18"/>
              </w:rPr>
              <w:t xml:space="preserve">. Whether an operator may suppress the alarm and for how long.</w:t>
            </w:r>
          </w:p>
        </w:tc>
      </w:tr>
      <w:tr>
        <w:trPr>
          <w:cantSplit/>
        </w:trPr>
        <w:tc>
          <w:tcPr>
            <w:tcW w:type="dxa" w:w="24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enabledByScheduleRef</w:t>
            </w:r>
          </w:p>
        </w:tc>
        <w:tc>
          <w:tcPr>
            <w:tcW w:type="dxa" w:w="6672"/>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OPTIONAL</w:t>
            </w:r>
            <w:r>
              <w:rPr>
                <w:sz w:val="18"/>
                <w:szCs w:val="18"/>
              </w:rPr>
              <w:t xml:space="preserve">. Alarms that apply only during occupancy.</w:t>
            </w:r>
          </w:p>
        </w:tc>
      </w:tr>
      <w:tr>
        <w:trPr>
          <w:cantSplit/>
        </w:trPr>
        <w:tc>
          <w:tcPr>
            <w:tcW w:type="dxa" w:w="24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routing</w:t>
            </w:r>
          </w:p>
        </w:tc>
        <w:tc>
          <w:tcPr>
            <w:tcW w:type="dxa" w:w="6672"/>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RECOMMENDED</w:t>
            </w:r>
            <w:r>
              <w:rPr>
                <w:sz w:val="18"/>
                <w:szCs w:val="18"/>
              </w:rPr>
              <w:t xml:space="preserve">. Ordered destinations with channel, party, schedule, and escalation interval.</w:t>
            </w:r>
          </w:p>
        </w:tc>
      </w:tr>
      <w:tr>
        <w:trPr>
          <w:cantSplit/>
        </w:trPr>
        <w:tc>
          <w:tcPr>
            <w:tcW w:type="dxa" w:w="24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message</w:t>
            </w:r>
          </w:p>
        </w:tc>
        <w:tc>
          <w:tcPr>
            <w:tcW w:type="dxa" w:w="6672"/>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RECOMMENDED</w:t>
            </w:r>
            <w:r>
              <w:rPr>
                <w:sz w:val="18"/>
                <w:szCs w:val="18"/>
              </w:rPr>
              <w:t xml:space="preserve">. What the operator is told.</w:t>
            </w:r>
          </w:p>
        </w:tc>
      </w:tr>
    </w:tbl>
    <w:p>
      <w:pPr>
        <w:pStyle w:val="Heading2"/>
      </w:pPr>
      <w:r>
        <w:rPr>
          <w:color w:val="8C6D46"/>
        </w:rPr>
        <w:t xml:space="preserve">11.3</w:t>
      </w:r>
      <w:r>
        <w:t xml:space="preserve">  </w:t>
      </w:r>
      <w:r>
        <w:t xml:space="preserve">Preservation</w:t>
      </w:r>
    </w:p>
    <w:tbl>
      <w:tblPr>
        <w:tblW w:type="dxa" w:w="9072"/>
        <w:tblBorders>
          <w:top w:val="none" w:color="FFFFFF" w:sz="0"/>
          <w:left w:val="single" w:color="8C6D46" w:sz="24"/>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F5F3EE" w:color="auto" w:val="clear"/>
            <w:tcMar>
              <w:top w:type="dxa" w:w="200"/>
              <w:left w:type="dxa" w:w="260"/>
              <w:bottom w:type="dxa" w:w="200"/>
              <w:right w:type="dxa" w:w="260"/>
            </w:tcMar>
          </w:tcPr>
          <w:p>
            <w:pPr>
              <w:spacing w:after="80"/>
            </w:pPr>
            <w:r>
              <w:rPr>
                <w:rFonts w:ascii="Georgia" w:cs="Georgia" w:eastAsia="Georgia" w:hAnsi="Georgia"/>
                <w:b/>
                <w:bCs/>
                <w:color w:val="1A1D21"/>
                <w:sz w:val="22"/>
                <w:szCs w:val="22"/>
              </w:rPr>
              <w:t xml:space="preserve">Requirement 11.3-1</w:t>
            </w:r>
          </w:p>
          <w:p>
            <w:pPr>
              <w:spacing w:after="0" w:line="280"/>
            </w:pPr>
            <w:r>
              <w:rPr>
                <w:sz w:val="20"/>
                <w:szCs w:val="20"/>
              </w:rPr>
              <w:t xml:space="preserve">An importer </w:t>
            </w:r>
            <w:r>
              <w:rPr>
                <w:b/>
                <w:bCs/>
                <w:color w:val="8C6D46"/>
                <w:sz w:val="20"/>
                <w:szCs w:val="20"/>
              </w:rPr>
              <w:t xml:space="preserve">MUST</w:t>
            </w:r>
            <w:r>
              <w:rPr>
                <w:sz w:val="20"/>
                <w:szCs w:val="20"/>
              </w:rPr>
              <w:t xml:space="preserve"> preserve every field of an alarm definition, including routing it cannot execute and priorities it cannot represent natively. Where it cannot enforce a field, it </w:t>
            </w:r>
            <w:r>
              <w:rPr>
                <w:b/>
                <w:bCs/>
                <w:color w:val="8C6D46"/>
                <w:sz w:val="20"/>
                <w:szCs w:val="20"/>
              </w:rPr>
              <w:t xml:space="preserve">MUST</w:t>
            </w:r>
            <w:r>
              <w:rPr>
                <w:sz w:val="20"/>
                <w:szCs w:val="20"/>
              </w:rPr>
              <w:t xml:space="preserve"> report that field as unenforced. Silently dropping routing or renormalizing priority is a conformance failure (test RT-22).</w:t>
            </w:r>
          </w:p>
        </w:tc>
      </w:tr>
    </w:tbl>
    <w:p>
      <w:pPr>
        <w:spacing w:after="120"/>
      </w:pPr>
      <w:r>
        <w:rPr>
          <w:sz w:val="2"/>
          <w:szCs w:val="2"/>
        </w:rPr>
        <w:t xml:space="preserve"/>
      </w:r>
    </w:p>
    <w:p>
      <w:pPr>
        <w:pStyle w:val="NoteCopy"/>
      </w:pPr>
      <w:r>
        <w:rPr>
          <w:b/>
          <w:bCs/>
          <w:color w:val="70757C"/>
          <w:sz w:val="18"/>
          <w:szCs w:val="18"/>
        </w:rPr>
        <w:t xml:space="preserve">NOTE </w:t>
      </w:r>
      <w:r>
        <w:rPr>
          <w:color w:val="70757C"/>
          <w:sz w:val="18"/>
          <w:szCs w:val="18"/>
        </w:rPr>
        <w:t xml:space="preserve">Priority renormalization is the specific failure to guard against. A source priority of 120 on a 0-to-255 scale mapped onto a receiver’s 1-to-5 scale is not recoverable, and the resulting alarm order is subtly wrong in a way nobody notices until an incident.</w:t>
      </w:r>
    </w:p>
    <w:p>
      <w:pPr>
        <w:pStyle w:val="Heading1"/>
      </w:pPr>
      <w:r>
        <w:rPr>
          <w:rFonts w:ascii="Georgia" w:cs="Georgia" w:eastAsia="Georgia" w:hAnsi="Georgia"/>
          <w:color w:val="8C6D46"/>
        </w:rPr>
        <w:t xml:space="preserve">12</w:t>
      </w:r>
      <w:r>
        <w:t xml:space="preserve">  </w:t>
      </w:r>
      <w:r>
        <w:t xml:space="preserve">Events</w:t>
      </w:r>
    </w:p>
    <w:p>
      <w:pPr>
        <w:spacing w:after="160" w:before="0"/>
      </w:pPr>
      <w:r>
        <w:rPr>
          <w:rFonts w:ascii="Calibri" w:cs="Calibri" w:eastAsia="Calibri" w:hAnsi="Calibri"/>
          <w:b/>
          <w:bCs/>
          <w:color w:val="8C6D46"/>
          <w:spacing w:val="40"/>
          <w:sz w:val="14"/>
          <w:szCs w:val="14"/>
        </w:rPr>
        <w:t xml:space="preserve">AGREED</w:t>
      </w:r>
      <w:r>
        <w:t xml:space="preserve">   </w:t>
      </w:r>
      <w:r>
        <w:rPr>
          <w:i/>
          <w:iCs/>
          <w:color w:val="70757C"/>
          <w:sz w:val="17"/>
          <w:szCs w:val="17"/>
        </w:rPr>
        <w:t xml:space="preserve">New in v0.2. An event is not a time-series sample and does not belong in the deferred history domain.</w:t>
      </w:r>
    </w:p>
    <w:p>
      <w:pPr>
        <w:pStyle w:val="Heading2"/>
      </w:pPr>
      <w:r>
        <w:rPr>
          <w:color w:val="8C6D46"/>
        </w:rPr>
        <w:t xml:space="preserve">12.1</w:t>
      </w:r>
      <w:r>
        <w:t xml:space="preserve">  </w:t>
      </w:r>
      <w:r>
        <w:t xml:space="preserve">What an event is</w:t>
      </w:r>
    </w:p>
    <w:p>
      <w:pPr>
        <w:pStyle w:val="BodyCopy"/>
      </w:pPr>
      <w:r>
        <w:t xml:space="preserve">A </w:t>
      </w:r>
      <w:r>
        <w:rPr>
          <w:rFonts w:ascii="Consolas" w:cs="Consolas" w:eastAsia="Consolas" w:hAnsi="Consolas"/>
          <w:color w:val="1A1D21"/>
          <w:sz w:val="18"/>
          <w:szCs w:val="18"/>
          <w:shd w:fill="F2F1ED" w:color="auto" w:val="clear"/>
        </w:rPr>
        <w:t xml:space="preserve">bus:Event</w:t>
      </w:r>
      <w:r>
        <w:t xml:space="preserve"> is a timestamped occurrence attached to a subject: an alarm raised, cleared, acknowledged, or shelved; an override applied or released; a mode change; a command; a setpoint change; a service action; a commissioning activity; a fault; a configuration change; an outage.</w:t>
      </w:r>
    </w:p>
    <w:p>
      <w:pPr>
        <w:pStyle w:val="BodyCopy"/>
      </w:pPr>
      <w:r>
        <w:t xml:space="preserve">The subject is intrinsic. An event without a subject is meaningless, so unlike ordinary contextual facts it is carried on the entity rather than as a relationship (5.3.1).</w:t>
      </w:r>
    </w:p>
    <w:p>
      <w:pPr>
        <w:pStyle w:val="Heading2"/>
      </w:pPr>
      <w:r>
        <w:rPr>
          <w:color w:val="8C6D46"/>
        </w:rPr>
        <w:t xml:space="preserve">12.2</w:t>
      </w:r>
      <w:r>
        <w:t xml:space="preserve">  </w:t>
      </w:r>
      <w:r>
        <w:t xml:space="preserve">Why events are core</w:t>
      </w:r>
    </w:p>
    <w:p>
      <w:pPr>
        <w:pStyle w:val="BodyCopy"/>
      </w:pPr>
      <w:r>
        <w:t xml:space="preserve">Folding events into time-series history and deferring both would mean the core cannot express the sentence that matters most in a migration: </w:t>
      </w:r>
      <w:r>
        <w:rPr>
          <w:i/>
          <w:iCs/>
        </w:rPr>
        <w:t xml:space="preserve">someone overrode this in 2019 and never took it out</w:t>
      </w:r>
      <w:r>
        <w:t xml:space="preserve">. That fact appears on no drawing, in no database field, and in no tag. It is precisely the class of understanding this standard exists to preserve, and it is cheap to carry because events are sparse where trend data is dense.</w:t>
      </w:r>
    </w:p>
    <w:tbl>
      <w:tblPr>
        <w:tblW w:type="dxa" w:w="9072"/>
        <w:tblBorders>
          <w:top w:val="none" w:color="FFFFFF" w:sz="0"/>
          <w:left w:val="single" w:color="D9D4C9" w:sz="12"/>
          <w:bottom w:val="none" w:color="FFFFFF" w:sz="0"/>
          <w:right w:val="none" w:color="FFFFFF" w:sz="0"/>
          <w:insideH w:val="none" w:color="FFFFFF" w:sz="0"/>
          <w:insideV w:val="none" w:color="FFFFFF" w:sz="0"/>
        </w:tblBorders>
        <w:tblLayout w:type="fixed"/>
      </w:tblPr>
      <w:tblGrid>
        <w:gridCol w:w="9072"/>
      </w:tblGrid>
      <w:tr>
        <w:trPr>
          <w:cantSplit w:val="false"/>
        </w:trPr>
        <w:tc>
          <w:tcPr>
            <w:tcW w:type="dxa" w:w="9072"/>
            <w:shd w:fill="F2F1ED" w:color="auto" w:val="clear"/>
            <w:tcMar>
              <w:top w:type="dxa" w:w="160"/>
              <w:left w:type="dxa" w:w="220"/>
              <w:bottom w:type="dxa" w:w="160"/>
              <w:right w:type="dxa" w:w="200"/>
            </w:tcMar>
          </w:tcPr>
          <w:p>
            <w:pPr>
              <w:spacing w:after="20" w:line="240"/>
            </w:pPr>
            <w:r>
              <w:rPr>
                <w:rFonts w:ascii="Consolas" w:cs="Consolas" w:eastAsia="Consolas" w:hAnsi="Consolas"/>
                <w:color w:val="1A1D21"/>
                <w:sz w:val="16"/>
                <w:szCs w:val="16"/>
              </w:rPr>
              <w:t xml:space="preserve">{ "type": "bus:Event",</w:t>
            </w:r>
          </w:p>
          <w:p>
            <w:pPr>
              <w:spacing w:after="20" w:line="240"/>
            </w:pPr>
            <w:r>
              <w:rPr>
                <w:rFonts w:ascii="Consolas" w:cs="Consolas" w:eastAsia="Consolas" w:hAnsi="Consolas"/>
                <w:color w:val="1A1D21"/>
                <w:sz w:val="16"/>
                <w:szCs w:val="16"/>
              </w:rPr>
              <w:t xml:space="preserve">  "eventKind": "override",</w:t>
            </w:r>
          </w:p>
          <w:p>
            <w:pPr>
              <w:spacing w:after="20" w:line="240"/>
            </w:pPr>
            <w:r>
              <w:rPr>
                <w:rFonts w:ascii="Consolas" w:cs="Consolas" w:eastAsia="Consolas" w:hAnsi="Consolas"/>
                <w:color w:val="1A1D21"/>
                <w:sz w:val="16"/>
                <w:szCs w:val="16"/>
              </w:rPr>
              <w:t xml:space="preserve">  "subject": "urn:uuid:...067",                    // VAV-2-01 damper command</w:t>
            </w:r>
          </w:p>
          <w:p>
            <w:pPr>
              <w:spacing w:after="20" w:line="240"/>
            </w:pPr>
            <w:r>
              <w:rPr>
                <w:rFonts w:ascii="Consolas" w:cs="Consolas" w:eastAsia="Consolas" w:hAnsi="Consolas"/>
                <w:color w:val="1A1D21"/>
                <w:sz w:val="16"/>
                <w:szCs w:val="16"/>
              </w:rPr>
              <w:t xml:space="preserve">  "at": "2017-05-09T11:20:00-05:00[America/Chicago]",</w:t>
            </w:r>
          </w:p>
          <w:p>
            <w:pPr>
              <w:spacing w:after="20" w:line="240"/>
            </w:pPr>
            <w:r>
              <w:rPr>
                <w:rFonts w:ascii="Consolas" w:cs="Consolas" w:eastAsia="Consolas" w:hAnsi="Consolas"/>
                <w:color w:val="1A1D21"/>
                <w:sz w:val="16"/>
                <w:szCs w:val="16"/>
              </w:rPr>
              <w:t xml:space="preserve">  "by": { "kind": "person", "name": "D. Okafor", "partyRef": "urn:uuid:...004" },</w:t>
            </w:r>
          </w:p>
          <w:p>
            <w:pPr>
              <w:spacing w:after="20" w:line="240"/>
            </w:pPr>
            <w:r>
              <w:rPr>
                <w:rFonts w:ascii="Consolas" w:cs="Consolas" w:eastAsia="Consolas" w:hAnsi="Consolas"/>
                <w:color w:val="1A1D21"/>
                <w:sz w:val="16"/>
                <w:szCs w:val="16"/>
              </w:rPr>
              <w:t xml:space="preserve">  "priorValue": 18.0, "value": 24.0, "priority": 8,</w:t>
            </w:r>
          </w:p>
          <w:p>
            <w:pPr>
              <w:spacing w:after="20" w:line="240"/>
            </w:pPr>
            <w:r>
              <w:rPr>
                <w:rFonts w:ascii="Consolas" w:cs="Consolas" w:eastAsia="Consolas" w:hAnsi="Consolas"/>
                <w:color w:val="1A1D21"/>
                <w:sz w:val="16"/>
                <w:szCs w:val="16"/>
              </w:rPr>
              <w:t xml:space="preserve">  "message": "Minimum damper command raised to 24 percent to clear the binding band.</w:t>
            </w:r>
          </w:p>
          <w:p>
            <w:pPr>
              <w:spacing w:after="20" w:line="240"/>
            </w:pPr>
            <w:r>
              <w:rPr>
                <w:rFonts w:ascii="Consolas" w:cs="Consolas" w:eastAsia="Consolas" w:hAnsi="Consolas"/>
                <w:color w:val="1A1D21"/>
                <w:sz w:val="16"/>
                <w:szCs w:val="16"/>
              </w:rPr>
              <w:t xml:space="preserve">              Override left in place deliberately; see KN-AHU1-OAD." }</w:t>
            </w:r>
          </w:p>
          <w:p>
            <w:pPr>
              <w:spacing w:after="0" w:line="240"/>
            </w:pPr>
            <w:r>
              <w:rPr>
                <w:rFonts w:ascii="Consolas" w:cs="Consolas" w:eastAsia="Consolas" w:hAnsi="Consolas"/>
                <w:color w:val="1A1D21"/>
                <w:sz w:val="16"/>
                <w:szCs w:val="16"/>
              </w:rPr>
              <w:t xml:space="preserve"> </w:t>
            </w:r>
          </w:p>
        </w:tc>
      </w:tr>
    </w:tbl>
    <w:p>
      <w:pPr>
        <w:pStyle w:val="Heading2"/>
      </w:pPr>
      <w:r>
        <w:rPr>
          <w:color w:val="8C6D46"/>
        </w:rPr>
        <w:t xml:space="preserve">12.3</w:t>
      </w:r>
      <w:r>
        <w:t xml:space="preserve">  </w:t>
      </w:r>
      <w:r>
        <w:t xml:space="preserve">Completeness</w:t>
      </w:r>
    </w:p>
    <w:p>
      <w:pPr>
        <w:pStyle w:val="BodyCopy"/>
      </w:pPr>
      <w:r>
        <w:t xml:space="preserve">An event log is rarely complete and completeness is not required. An exporter carrying a subset </w:t>
      </w:r>
      <w:r>
        <w:rPr>
          <w:b/>
          <w:bCs/>
          <w:color w:val="8C6D46"/>
        </w:rPr>
        <w:t xml:space="preserve">MUST</w:t>
      </w:r>
      <w:r>
        <w:t xml:space="preserve"> declare the </w:t>
      </w:r>
      <w:r>
        <w:rPr>
          <w:rFonts w:ascii="Consolas" w:cs="Consolas" w:eastAsia="Consolas" w:hAnsi="Consolas"/>
          <w:color w:val="1A1D21"/>
          <w:sz w:val="18"/>
          <w:szCs w:val="18"/>
          <w:shd w:fill="F2F1ED" w:color="auto" w:val="clear"/>
        </w:rPr>
        <w:t xml:space="preserve">events</w:t>
      </w:r>
      <w:r>
        <w:t xml:space="preserve"> domain as partial with a reason (16.6). A partial event history is materially better than none, and a standard demanding completeness here would be widely ignored.</w:t>
      </w:r>
    </w:p>
    <w:p>
      <w:pPr>
        <w:pStyle w:val="BodyCopy"/>
      </w:pPr>
      <w:r>
        <w:t xml:space="preserve">An importer </w:t>
      </w:r>
      <w:r>
        <w:rPr>
          <w:b/>
          <w:bCs/>
          <w:color w:val="8C6D46"/>
        </w:rPr>
        <w:t xml:space="preserve">MUST</w:t>
      </w:r>
      <w:r>
        <w:t xml:space="preserve"> preserve an event’s subject reference. An override event that loses its subject is a failure (test RT-23), because it becomes an anecdote rather than a fact about a point.</w:t>
      </w:r>
    </w:p>
    <w:p>
      <w:pPr>
        <w:pStyle w:val="Heading1"/>
      </w:pPr>
      <w:r>
        <w:rPr>
          <w:rFonts w:ascii="Georgia" w:cs="Georgia" w:eastAsia="Georgia" w:hAnsi="Georgia"/>
          <w:color w:val="8C6D46"/>
        </w:rPr>
        <w:t xml:space="preserve">13</w:t>
      </w:r>
      <w:r>
        <w:t xml:space="preserve">  </w:t>
      </w:r>
      <w:r>
        <w:t xml:space="preserve">Portable presentation</w:t>
      </w:r>
    </w:p>
    <w:p>
      <w:pPr>
        <w:spacing w:after="160" w:before="0"/>
      </w:pPr>
      <w:r>
        <w:rPr>
          <w:rFonts w:ascii="Calibri" w:cs="Calibri" w:eastAsia="Calibri" w:hAnsi="Calibri"/>
          <w:b/>
          <w:bCs/>
          <w:color w:val="8C6D46"/>
          <w:spacing w:val="40"/>
          <w:sz w:val="14"/>
          <w:szCs w:val="14"/>
        </w:rPr>
        <w:t xml:space="preserve">AGREED</w:t>
      </w:r>
      <w:r>
        <w:t xml:space="preserve">   </w:t>
      </w:r>
      <w:r>
        <w:rPr>
          <w:i/>
          <w:iCs/>
          <w:color w:val="70757C"/>
          <w:sz w:val="17"/>
          <w:szCs w:val="17"/>
        </w:rPr>
        <w:t xml:space="preserve">The layering, the role-and-library mechanism, and the binding model are settled. The neutral vector format used by figure mode is named and not yet specified; see 13.4.3.</w:t>
      </w:r>
    </w:p>
    <w:p>
      <w:pPr>
        <w:pStyle w:val="BodyCopy"/>
      </w:pPr>
      <w:r>
        <w:t xml:space="preserve">Owners pay substantial sums to create floor plans, equipment graphics, point bindings, and navigation structures. Those assets describe the building and embody real engineering labor. At present they are rebuilt at every migration, and the rebuild is among the largest single costs an owner incurs in changing platforms.</w:t>
      </w:r>
    </w:p>
    <w:p>
      <w:pPr>
        <w:pStyle w:val="BodyCopy"/>
      </w:pPr>
      <w:r>
        <w:t xml:space="preserve">The evidence that this is structural rather than incidental is set out in 20.4. In short: no standard anywhere defines operator graphics with live bindings; the one vendor format published as a specification keeps its bindings in a database rather than in the file; vendors’ own conversion utilities drop dynamics and require manual rebinding; and the third-party graphics industry is organized by platform with no conversion service between them.</w:t>
      </w:r>
    </w:p>
    <w:p>
      <w:pPr>
        <w:pStyle w:val="Heading2"/>
      </w:pPr>
      <w:r>
        <w:rPr>
          <w:color w:val="8C6D46"/>
        </w:rPr>
        <w:t xml:space="preserve">13.1</w:t>
      </w:r>
      <w:r>
        <w:t xml:space="preserve">  </w:t>
      </w:r>
      <w:r>
        <w:t xml:space="preserve">The four layers of a graphic</w:t>
      </w:r>
    </w:p>
    <w:p>
      <w:pPr>
        <w:pStyle w:val="BodyCopy"/>
      </w:pPr>
      <w:r>
        <w:t xml:space="preserve">The reason this has never been standardized is that a graphic is treated as one thing. It is four, and the ownership line falls cleanly between the third and the fourth.</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2200"/>
        <w:gridCol w:w="4300"/>
        <w:gridCol w:w="2572"/>
      </w:tblGrid>
      <w:tr>
        <w:trPr>
          <w:cantSplit/>
          <w:tblHeader/>
        </w:trPr>
        <w:tc>
          <w:tcPr>
            <w:tcW w:type="dxa" w:w="22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Layer</w:t>
            </w:r>
          </w:p>
        </w:tc>
        <w:tc>
          <w:tcPr>
            <w:tcW w:type="dxa" w:w="43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What it is</w:t>
            </w:r>
          </w:p>
        </w:tc>
        <w:tc>
          <w:tcPr>
            <w:tcW w:type="dxa" w:w="25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Whose</w:t>
            </w:r>
          </w:p>
        </w:tc>
      </w:tr>
      <w:tr>
        <w:trPr>
          <w:cantSplit/>
        </w:trPr>
        <w:tc>
          <w:tcPr>
            <w:tcW w:type="dxa" w:w="2200"/>
            <w:shd w:fill="FFFFFF" w:color="auto" w:val="clear"/>
            <w:tcMar>
              <w:top w:type="dxa" w:w="120"/>
              <w:left w:type="dxa" w:w="160"/>
              <w:bottom w:type="dxa" w:w="120"/>
              <w:right w:type="dxa" w:w="160"/>
            </w:tcMar>
            <w:vAlign w:val="top"/>
          </w:tcPr>
          <w:p>
            <w:pPr>
              <w:spacing w:after="0" w:line="260"/>
            </w:pPr>
            <w:r>
              <w:rPr>
                <w:sz w:val="18"/>
                <w:szCs w:val="18"/>
              </w:rPr>
              <w:t xml:space="preserve">Geometry and structure</w:t>
            </w:r>
          </w:p>
        </w:tc>
        <w:tc>
          <w:tcPr>
            <w:tcW w:type="dxa" w:w="4300"/>
            <w:shd w:fill="FFFFFF" w:color="auto" w:val="clear"/>
            <w:tcMar>
              <w:top w:type="dxa" w:w="120"/>
              <w:left w:type="dxa" w:w="160"/>
              <w:bottom w:type="dxa" w:w="120"/>
              <w:right w:type="dxa" w:w="160"/>
            </w:tcMar>
            <w:vAlign w:val="top"/>
          </w:tcPr>
          <w:p>
            <w:pPr>
              <w:spacing w:after="0" w:line="260"/>
            </w:pPr>
            <w:r>
              <w:rPr>
                <w:sz w:val="18"/>
                <w:szCs w:val="18"/>
              </w:rPr>
              <w:t xml:space="preserve">Coordinate system, space boundaries, linework, placement, rotation, layers, grouping, z-order.</w:t>
            </w:r>
          </w:p>
        </w:tc>
        <w:tc>
          <w:tcPr>
            <w:tcW w:type="dxa" w:w="2572"/>
            <w:shd w:fill="FFFFFF" w:color="auto" w:val="clear"/>
            <w:tcMar>
              <w:top w:type="dxa" w:w="120"/>
              <w:left w:type="dxa" w:w="160"/>
              <w:bottom w:type="dxa" w:w="120"/>
              <w:right w:type="dxa" w:w="160"/>
            </w:tcMar>
            <w:vAlign w:val="top"/>
          </w:tcPr>
          <w:p>
            <w:pPr>
              <w:spacing w:after="0" w:line="260"/>
            </w:pPr>
            <w:r>
              <w:rPr>
                <w:sz w:val="18"/>
                <w:szCs w:val="18"/>
              </w:rPr>
              <w:t xml:space="preserve">Owner. Survey and drafting labor.</w:t>
            </w:r>
          </w:p>
        </w:tc>
      </w:tr>
      <w:tr>
        <w:trPr>
          <w:cantSplit/>
        </w:trPr>
        <w:tc>
          <w:tcPr>
            <w:tcW w:type="dxa" w:w="2200"/>
            <w:shd w:fill="FAF9F6" w:color="auto" w:val="clear"/>
            <w:tcMar>
              <w:top w:type="dxa" w:w="120"/>
              <w:left w:type="dxa" w:w="160"/>
              <w:bottom w:type="dxa" w:w="120"/>
              <w:right w:type="dxa" w:w="160"/>
            </w:tcMar>
            <w:vAlign w:val="top"/>
          </w:tcPr>
          <w:p>
            <w:pPr>
              <w:spacing w:after="0" w:line="260"/>
            </w:pPr>
            <w:r>
              <w:rPr>
                <w:sz w:val="18"/>
                <w:szCs w:val="18"/>
              </w:rPr>
              <w:t xml:space="preserve">Semantic element identity</w:t>
            </w:r>
          </w:p>
        </w:tc>
        <w:tc>
          <w:tcPr>
            <w:tcW w:type="dxa" w:w="4300"/>
            <w:shd w:fill="FAF9F6" w:color="auto" w:val="clear"/>
            <w:tcMar>
              <w:top w:type="dxa" w:w="120"/>
              <w:left w:type="dxa" w:w="160"/>
              <w:bottom w:type="dxa" w:w="120"/>
              <w:right w:type="dxa" w:w="160"/>
            </w:tcMar>
            <w:vAlign w:val="top"/>
          </w:tcPr>
          <w:p>
            <w:pPr>
              <w:spacing w:after="0" w:line="260"/>
            </w:pPr>
            <w:r>
              <w:rPr>
                <w:sz w:val="18"/>
                <w:szCs w:val="18"/>
              </w:rPr>
              <w:t xml:space="preserve">That the thing at a location is a supply fan, not that it is a blue rectangle with an arc.</w:t>
            </w:r>
          </w:p>
        </w:tc>
        <w:tc>
          <w:tcPr>
            <w:tcW w:type="dxa" w:w="2572"/>
            <w:shd w:fill="FAF9F6" w:color="auto" w:val="clear"/>
            <w:tcMar>
              <w:top w:type="dxa" w:w="120"/>
              <w:left w:type="dxa" w:w="160"/>
              <w:bottom w:type="dxa" w:w="120"/>
              <w:right w:type="dxa" w:w="160"/>
            </w:tcMar>
            <w:vAlign w:val="top"/>
          </w:tcPr>
          <w:p>
            <w:pPr>
              <w:spacing w:after="0" w:line="260"/>
            </w:pPr>
            <w:r>
              <w:rPr>
                <w:sz w:val="18"/>
                <w:szCs w:val="18"/>
              </w:rPr>
              <w:t xml:space="preserve">Owner.</w:t>
            </w:r>
          </w:p>
        </w:tc>
      </w:tr>
      <w:tr>
        <w:trPr>
          <w:cantSplit/>
        </w:trPr>
        <w:tc>
          <w:tcPr>
            <w:tcW w:type="dxa" w:w="2200"/>
            <w:shd w:fill="FFFFFF" w:color="auto" w:val="clear"/>
            <w:tcMar>
              <w:top w:type="dxa" w:w="120"/>
              <w:left w:type="dxa" w:w="160"/>
              <w:bottom w:type="dxa" w:w="120"/>
              <w:right w:type="dxa" w:w="160"/>
            </w:tcMar>
            <w:vAlign w:val="top"/>
          </w:tcPr>
          <w:p>
            <w:pPr>
              <w:spacing w:after="0" w:line="260"/>
            </w:pPr>
            <w:r>
              <w:rPr>
                <w:sz w:val="18"/>
                <w:szCs w:val="18"/>
              </w:rPr>
              <w:t xml:space="preserve">Bindings</w:t>
            </w:r>
          </w:p>
        </w:tc>
        <w:tc>
          <w:tcPr>
            <w:tcW w:type="dxa" w:w="4300"/>
            <w:shd w:fill="FFFFFF" w:color="auto" w:val="clear"/>
            <w:tcMar>
              <w:top w:type="dxa" w:w="120"/>
              <w:left w:type="dxa" w:w="160"/>
              <w:bottom w:type="dxa" w:w="120"/>
              <w:right w:type="dxa" w:w="160"/>
            </w:tcMar>
            <w:vAlign w:val="top"/>
          </w:tcPr>
          <w:p>
            <w:pPr>
              <w:spacing w:after="0" w:line="260"/>
            </w:pPr>
            <w:r>
              <w:rPr>
                <w:sz w:val="18"/>
                <w:szCs w:val="18"/>
              </w:rPr>
              <w:t xml:space="preserve">Which element is driven by which entity, through which channel; command actions; alarm annunciation; behavior on stale data.</w:t>
            </w:r>
          </w:p>
        </w:tc>
        <w:tc>
          <w:tcPr>
            <w:tcW w:type="dxa" w:w="2572"/>
            <w:shd w:fill="FFFFFF" w:color="auto" w:val="clear"/>
            <w:tcMar>
              <w:top w:type="dxa" w:w="120"/>
              <w:left w:type="dxa" w:w="160"/>
              <w:bottom w:type="dxa" w:w="120"/>
              <w:right w:type="dxa" w:w="160"/>
            </w:tcMar>
            <w:vAlign w:val="top"/>
          </w:tcPr>
          <w:p>
            <w:pPr>
              <w:spacing w:after="0" w:line="260"/>
            </w:pPr>
            <w:r>
              <w:rPr>
                <w:sz w:val="18"/>
                <w:szCs w:val="18"/>
              </w:rPr>
              <w:t xml:space="preserve">Owner. The largest engineering cost.</w:t>
            </w:r>
          </w:p>
        </w:tc>
      </w:tr>
      <w:tr>
        <w:trPr>
          <w:cantSplit/>
        </w:trPr>
        <w:tc>
          <w:tcPr>
            <w:tcW w:type="dxa" w:w="2200"/>
            <w:shd w:fill="FAF9F6" w:color="auto" w:val="clear"/>
            <w:tcMar>
              <w:top w:type="dxa" w:w="120"/>
              <w:left w:type="dxa" w:w="160"/>
              <w:bottom w:type="dxa" w:w="120"/>
              <w:right w:type="dxa" w:w="160"/>
            </w:tcMar>
            <w:vAlign w:val="top"/>
          </w:tcPr>
          <w:p>
            <w:pPr>
              <w:spacing w:after="0" w:line="260"/>
            </w:pPr>
            <w:r>
              <w:rPr>
                <w:sz w:val="18"/>
                <w:szCs w:val="18"/>
              </w:rPr>
              <w:t xml:space="preserve">Appearance</w:t>
            </w:r>
          </w:p>
        </w:tc>
        <w:tc>
          <w:tcPr>
            <w:tcW w:type="dxa" w:w="4300"/>
            <w:shd w:fill="FAF9F6" w:color="auto" w:val="clear"/>
            <w:tcMar>
              <w:top w:type="dxa" w:w="120"/>
              <w:left w:type="dxa" w:w="160"/>
              <w:bottom w:type="dxa" w:w="120"/>
              <w:right w:type="dxa" w:w="160"/>
            </w:tcMar>
            <w:vAlign w:val="top"/>
          </w:tcPr>
          <w:p>
            <w:pPr>
              <w:spacing w:after="0" w:line="260"/>
            </w:pPr>
            <w:r>
              <w:rPr>
                <w:sz w:val="18"/>
                <w:szCs w:val="18"/>
              </w:rPr>
              <w:t xml:space="preserve">Artwork, color, animation curves, transitions, hover behavior, typography, responsive layout, interaction model.</w:t>
            </w:r>
          </w:p>
        </w:tc>
        <w:tc>
          <w:tcPr>
            <w:tcW w:type="dxa" w:w="2572"/>
            <w:shd w:fill="FAF9F6" w:color="auto" w:val="clear"/>
            <w:tcMar>
              <w:top w:type="dxa" w:w="120"/>
              <w:left w:type="dxa" w:w="160"/>
              <w:bottom w:type="dxa" w:w="120"/>
              <w:right w:type="dxa" w:w="160"/>
            </w:tcMar>
            <w:vAlign w:val="top"/>
          </w:tcPr>
          <w:p>
            <w:pPr>
              <w:spacing w:after="0" w:line="260"/>
            </w:pPr>
            <w:r>
              <w:rPr>
                <w:sz w:val="18"/>
                <w:szCs w:val="18"/>
              </w:rPr>
              <w:t xml:space="preserve">Vendor. Entirely.</w:t>
            </w:r>
          </w:p>
        </w:tc>
      </w:tr>
    </w:tbl>
    <w:tbl>
      <w:tblPr>
        <w:tblW w:type="dxa" w:w="9072"/>
        <w:tblBorders>
          <w:top w:val="none" w:color="FFFFFF" w:sz="0"/>
          <w:left w:val="single" w:color="8C6D46" w:sz="24"/>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F5F3EE" w:color="auto" w:val="clear"/>
            <w:tcMar>
              <w:top w:type="dxa" w:w="200"/>
              <w:left w:type="dxa" w:w="260"/>
              <w:bottom w:type="dxa" w:w="200"/>
              <w:right w:type="dxa" w:w="260"/>
            </w:tcMar>
          </w:tcPr>
          <w:p>
            <w:pPr>
              <w:spacing w:after="80"/>
            </w:pPr>
            <w:r>
              <w:rPr>
                <w:rFonts w:ascii="Georgia" w:cs="Georgia" w:eastAsia="Georgia" w:hAnsi="Georgia"/>
                <w:b/>
                <w:bCs/>
                <w:color w:val="1A1D21"/>
                <w:sz w:val="22"/>
                <w:szCs w:val="22"/>
              </w:rPr>
              <w:t xml:space="preserve">The boundary test, applied to graphics</w:t>
            </w:r>
          </w:p>
          <w:p>
            <w:pPr>
              <w:spacing w:after="0" w:line="280"/>
            </w:pPr>
            <w:r>
              <w:rPr>
                <w:sz w:val="20"/>
                <w:szCs w:val="20"/>
              </w:rPr>
              <w:t xml:space="preserve">The vendor keeps everything a user sees and feels. The owner keeps everything a draftsman or engineer decided.</w:t>
            </w:r>
          </w:p>
        </w:tc>
      </w:tr>
    </w:tbl>
    <w:p>
      <w:pPr>
        <w:spacing w:after="120"/>
      </w:pPr>
      <w:r>
        <w:rPr>
          <w:sz w:val="2"/>
          <w:szCs w:val="2"/>
        </w:rPr>
        <w:t xml:space="preserve"/>
      </w:r>
    </w:p>
    <w:p>
      <w:pPr>
        <w:pStyle w:val="BodyCopy"/>
      </w:pPr>
      <w:r>
        <w:t xml:space="preserve">This standard specifies the first three layers and says nothing whatever about the fourth. A conforming receiving system is free to render a package in a visual language entirely unlike the one it came from, and remains conforming.</w:t>
      </w:r>
    </w:p>
    <w:p>
      <w:pPr>
        <w:pStyle w:val="Heading2"/>
      </w:pPr>
      <w:r>
        <w:rPr>
          <w:color w:val="8C6D46"/>
        </w:rPr>
        <w:t xml:space="preserve">13.2</w:t>
      </w:r>
      <w:r>
        <w:t xml:space="preserve">  </w:t>
      </w:r>
      <w:r>
        <w:t xml:space="preserve">Drawings</w:t>
      </w:r>
    </w:p>
    <w:p>
      <w:pPr>
        <w:pStyle w:val="BodyCopy"/>
      </w:pPr>
      <w:r>
        <w:t xml:space="preserve">A </w:t>
      </w:r>
      <w:r>
        <w:rPr>
          <w:rFonts w:ascii="Consolas" w:cs="Consolas" w:eastAsia="Consolas" w:hAnsi="Consolas"/>
          <w:color w:val="1A1D21"/>
          <w:sz w:val="18"/>
          <w:szCs w:val="18"/>
          <w:shd w:fill="F2F1ED" w:color="auto" w:val="clear"/>
        </w:rPr>
        <w:t xml:space="preserve">bus:Drawing</w:t>
      </w:r>
      <w:r>
        <w:t xml:space="preserve"> is a page: a floor plan, site plan, equipment graphic, schematic, one-line, riser, detail, or dashboard. It carries a coordinate system, an extent, an </w:t>
      </w:r>
      <w:r>
        <w:rPr>
          <w:b/>
          <w:bCs/>
          <w:color w:val="8C6D46"/>
        </w:rPr>
        <w:t xml:space="preserve">OPTIONAL</w:t>
      </w:r>
      <w:r>
        <w:t xml:space="preserve"> nominal scale and reference dimension, and an </w:t>
      </w:r>
      <w:r>
        <w:rPr>
          <w:b/>
          <w:bCs/>
          <w:color w:val="8C6D46"/>
        </w:rPr>
        <w:t xml:space="preserve">OPTIONAL</w:t>
      </w:r>
      <w:r>
        <w:t xml:space="preserve"> </w:t>
      </w:r>
      <w:r>
        <w:rPr>
          <w:rFonts w:ascii="Consolas" w:cs="Consolas" w:eastAsia="Consolas" w:hAnsi="Consolas"/>
          <w:color w:val="1A1D21"/>
          <w:sz w:val="18"/>
          <w:szCs w:val="18"/>
          <w:shd w:fill="F2F1ED" w:color="auto" w:val="clear"/>
        </w:rPr>
        <w:t xml:space="preserve">subject</w:t>
      </w:r>
      <w:r>
        <w:t xml:space="preserve"> naming the space or asset it is of.</w:t>
      </w:r>
    </w:p>
    <w:p>
      <w:pPr>
        <w:pStyle w:val="BodyCopy"/>
      </w:pPr>
      <w:r>
        <w:t xml:space="preserve">A drawing </w:t>
      </w:r>
      <w:r>
        <w:rPr>
          <w:b/>
          <w:bCs/>
          <w:color w:val="8C6D46"/>
        </w:rPr>
        <w:t xml:space="preserve">MUST</w:t>
      </w:r>
      <w:r>
        <w:t xml:space="preserve"> contain at least one element. Layers and elements name their drawing; an element’s layer </w:t>
      </w:r>
      <w:r>
        <w:rPr>
          <w:b/>
          <w:bCs/>
          <w:color w:val="8C6D46"/>
        </w:rPr>
        <w:t xml:space="preserve">MUST</w:t>
      </w:r>
      <w:r>
        <w:t xml:space="preserve"> belong to the same drawing as the element (test PK-14).</w:t>
      </w:r>
    </w:p>
    <w:p>
      <w:pPr>
        <w:pStyle w:val="Heading3"/>
      </w:pPr>
      <w:r>
        <w:rPr>
          <w:color w:val="8C6D46"/>
        </w:rPr>
        <w:t xml:space="preserve">13.2.1</w:t>
      </w:r>
      <w:r>
        <w:t xml:space="preserve">  </w:t>
      </w:r>
      <w:r>
        <w:t xml:space="preserve">Layers</w:t>
      </w:r>
    </w:p>
    <w:p>
      <w:pPr>
        <w:pStyle w:val="BodyCopy"/>
      </w:pPr>
      <w:r>
        <w:t xml:space="preserve">A </w:t>
      </w:r>
      <w:r>
        <w:rPr>
          <w:rFonts w:ascii="Consolas" w:cs="Consolas" w:eastAsia="Consolas" w:hAnsi="Consolas"/>
          <w:color w:val="1A1D21"/>
          <w:sz w:val="18"/>
          <w:szCs w:val="18"/>
          <w:shd w:fill="F2F1ED" w:color="auto" w:val="clear"/>
        </w:rPr>
        <w:t xml:space="preserve">bus:Layer</w:t>
      </w:r>
      <w:r>
        <w:t xml:space="preserve"> carries a declared </w:t>
      </w:r>
      <w:r>
        <w:rPr>
          <w:rFonts w:ascii="Consolas" w:cs="Consolas" w:eastAsia="Consolas" w:hAnsi="Consolas"/>
          <w:color w:val="1A1D21"/>
          <w:sz w:val="18"/>
          <w:szCs w:val="18"/>
          <w:shd w:fill="F2F1ED" w:color="auto" w:val="clear"/>
        </w:rPr>
        <w:t xml:space="preserve">purpose</w:t>
      </w:r>
      <w:r>
        <w:t xml:space="preserve">: background, architecture, structure, spaces, equipment, ductwork, piping, electrical, controls, annotation, or navigation.</w:t>
      </w:r>
    </w:p>
    <w:p>
      <w:pPr>
        <w:pStyle w:val="BodyCopy"/>
      </w:pPr>
      <w:r>
        <w:t xml:space="preserve">Purpose is declared rather than left to naming convention so that a receiving system can drop the architectural context and keep the semantic content — which is what a system that already has its own base plan needs to do, and what a system rebuilding a plan from scratch cannot do at all today.</w:t>
      </w:r>
    </w:p>
    <w:p>
      <w:pPr>
        <w:pStyle w:val="Heading2"/>
      </w:pPr>
      <w:r>
        <w:rPr>
          <w:color w:val="8C6D46"/>
        </w:rPr>
        <w:t xml:space="preserve">13.3</w:t>
      </w:r>
      <w:r>
        <w:t xml:space="preserve">  </w:t>
      </w:r>
      <w:r>
        <w:t xml:space="preserve">Coordinate systems and georeferencing</w:t>
      </w:r>
    </w:p>
    <w:p>
      <w:pPr>
        <w:pStyle w:val="BodyCopy"/>
      </w:pPr>
      <w:r>
        <w:t xml:space="preserve">A drawing </w:t>
      </w:r>
      <w:r>
        <w:rPr>
          <w:b/>
          <w:bCs/>
          <w:color w:val="8C6D46"/>
        </w:rPr>
        <w:t xml:space="preserve">MUST</w:t>
      </w:r>
      <w:r>
        <w:t xml:space="preserve"> declare its coordinate system: the length unit code its coordinates are expressed in, the direction of increasing y, and an </w:t>
      </w:r>
      <w:r>
        <w:rPr>
          <w:b/>
          <w:bCs/>
          <w:color w:val="8C6D46"/>
        </w:rPr>
        <w:t xml:space="preserve">OPTIONAL</w:t>
      </w:r>
      <w:r>
        <w:t xml:space="preserve"> origin.</w:t>
      </w:r>
    </w:p>
    <w:p>
      <w:pPr>
        <w:pStyle w:val="BodyCopy"/>
      </w:pPr>
      <w:r>
        <w:t xml:space="preserve">A drawing of physical space </w:t>
      </w:r>
      <w:r>
        <w:rPr>
          <w:b/>
          <w:bCs/>
          <w:color w:val="8C6D46"/>
        </w:rPr>
        <w:t xml:space="preserve">SHOULD</w:t>
      </w:r>
      <w:r>
        <w:t xml:space="preserve"> carry a </w:t>
      </w:r>
      <w:r>
        <w:rPr>
          <w:b/>
          <w:bCs/>
          <w:color w:val="1A1D21"/>
        </w:rPr>
        <w:t xml:space="preserve">georeference</w:t>
      </w:r>
      <w:r>
        <w:t xml:space="preserve">: a latitude and longitude, the drawing coordinate they correspond to, a rotation from true north, an </w:t>
      </w:r>
      <w:r>
        <w:rPr>
          <w:b/>
          <w:bCs/>
          <w:color w:val="8C6D46"/>
        </w:rPr>
        <w:t xml:space="preserve">OPTIONAL</w:t>
      </w:r>
      <w:r>
        <w:t xml:space="preserve"> elevation, and an </w:t>
      </w:r>
      <w:r>
        <w:rPr>
          <w:b/>
          <w:bCs/>
          <w:color w:val="8C6D46"/>
        </w:rPr>
        <w:t xml:space="preserve">OPTIONAL</w:t>
      </w:r>
      <w:r>
        <w:t xml:space="preserve"> coordinate reference system identifier per [ISO19111].</w:t>
      </w:r>
    </w:p>
    <w:tbl>
      <w:tblPr>
        <w:tblW w:type="dxa" w:w="9072"/>
        <w:tblBorders>
          <w:top w:val="none" w:color="FFFFFF" w:sz="0"/>
          <w:left w:val="single" w:color="D9D4C9" w:sz="12"/>
          <w:bottom w:val="none" w:color="FFFFFF" w:sz="0"/>
          <w:right w:val="none" w:color="FFFFFF" w:sz="0"/>
          <w:insideH w:val="none" w:color="FFFFFF" w:sz="0"/>
          <w:insideV w:val="none" w:color="FFFFFF" w:sz="0"/>
        </w:tblBorders>
        <w:tblLayout w:type="fixed"/>
      </w:tblPr>
      <w:tblGrid>
        <w:gridCol w:w="9072"/>
      </w:tblGrid>
      <w:tr>
        <w:trPr>
          <w:cantSplit w:val="false"/>
        </w:trPr>
        <w:tc>
          <w:tcPr>
            <w:tcW w:type="dxa" w:w="9072"/>
            <w:shd w:fill="F2F1ED" w:color="auto" w:val="clear"/>
            <w:tcMar>
              <w:top w:type="dxa" w:w="160"/>
              <w:left w:type="dxa" w:w="220"/>
              <w:bottom w:type="dxa" w:w="160"/>
              <w:right w:type="dxa" w:w="200"/>
            </w:tcMar>
          </w:tcPr>
          <w:p>
            <w:pPr>
              <w:spacing w:after="20" w:line="240"/>
            </w:pPr>
            <w:r>
              <w:rPr>
                <w:rFonts w:ascii="Consolas" w:cs="Consolas" w:eastAsia="Consolas" w:hAnsi="Consolas"/>
                <w:color w:val="1A1D21"/>
                <w:sz w:val="16"/>
                <w:szCs w:val="16"/>
              </w:rPr>
              <w:t xml:space="preserve">"coordinateSystem": {</w:t>
            </w:r>
          </w:p>
          <w:p>
            <w:pPr>
              <w:spacing w:after="20" w:line="240"/>
            </w:pPr>
            <w:r>
              <w:rPr>
                <w:rFonts w:ascii="Consolas" w:cs="Consolas" w:eastAsia="Consolas" w:hAnsi="Consolas"/>
                <w:color w:val="1A1D21"/>
                <w:sz w:val="16"/>
                <w:szCs w:val="16"/>
              </w:rPr>
              <w:t xml:space="preserve">  "unitCode": "m", "yAxis": "up", "origin": { "x": 0.0, "y": 0.0 },</w:t>
            </w:r>
          </w:p>
          <w:p>
            <w:pPr>
              <w:spacing w:after="20" w:line="240"/>
            </w:pPr>
            <w:r>
              <w:rPr>
                <w:rFonts w:ascii="Consolas" w:cs="Consolas" w:eastAsia="Consolas" w:hAnsi="Consolas"/>
                <w:color w:val="1A1D21"/>
                <w:sz w:val="16"/>
                <w:szCs w:val="16"/>
              </w:rPr>
              <w:t xml:space="preserve">  "georeference": {</w:t>
            </w:r>
          </w:p>
          <w:p>
            <w:pPr>
              <w:spacing w:after="20" w:line="240"/>
            </w:pPr>
            <w:r>
              <w:rPr>
                <w:rFonts w:ascii="Consolas" w:cs="Consolas" w:eastAsia="Consolas" w:hAnsi="Consolas"/>
                <w:color w:val="1A1D21"/>
                <w:sz w:val="16"/>
                <w:szCs w:val="16"/>
              </w:rPr>
              <w:t xml:space="preserve">    "latitude": 30.267105, "longitude": -97.723940,</w:t>
            </w:r>
          </w:p>
          <w:p>
            <w:pPr>
              <w:spacing w:after="20" w:line="240"/>
            </w:pPr>
            <w:r>
              <w:rPr>
                <w:rFonts w:ascii="Consolas" w:cs="Consolas" w:eastAsia="Consolas" w:hAnsi="Consolas"/>
                <w:color w:val="1A1D21"/>
                <w:sz w:val="16"/>
                <w:szCs w:val="16"/>
              </w:rPr>
              <w:t xml:space="preserve">    "atX": 0.0, "atY": 0.0, "rotation": 14.5,</w:t>
            </w:r>
          </w:p>
          <w:p>
            <w:pPr>
              <w:spacing w:after="20" w:line="240"/>
            </w:pPr>
            <w:r>
              <w:rPr>
                <w:rFonts w:ascii="Consolas" w:cs="Consolas" w:eastAsia="Consolas" w:hAnsi="Consolas"/>
                <w:color w:val="1A1D21"/>
                <w:sz w:val="16"/>
                <w:szCs w:val="16"/>
              </w:rPr>
              <w:t xml:space="preserve">    "elevation": { "value": 4.2, "unit": "m" }, "crs": "EPSG:4326" }</w:t>
            </w:r>
          </w:p>
          <w:p>
            <w:pPr>
              <w:spacing w:after="0" w:line="240"/>
            </w:pPr>
            <w:r>
              <w:rPr>
                <w:rFonts w:ascii="Consolas" w:cs="Consolas" w:eastAsia="Consolas" w:hAnsi="Consolas"/>
                <w:color w:val="1A1D21"/>
                <w:sz w:val="16"/>
                <w:szCs w:val="16"/>
              </w:rPr>
              <w:t xml:space="preserve">}</w:t>
            </w:r>
          </w:p>
        </w:tc>
      </w:tr>
    </w:tbl>
    <w:p>
      <w:pPr>
        <w:pStyle w:val="BodyCopy"/>
      </w:pPr>
      <w:r>
        <w:t xml:space="preserve">Georeferencing matters more than it appears to. An anchored plan survives into any CAD, BIM, or GIS tool indefinitely, and two plans produced by different vendors at different times will register against each other without manual alignment. An unanchored plan is a picture whose relationship to the world has to be re-established by hand every time it is reused.</w:t>
      </w:r>
    </w:p>
    <w:p>
      <w:pPr>
        <w:pStyle w:val="BodyCopy"/>
      </w:pPr>
      <w:r>
        <w:t xml:space="preserve">A drawing </w:t>
      </w:r>
      <w:r>
        <w:rPr>
          <w:b/>
          <w:bCs/>
          <w:color w:val="8C6D46"/>
        </w:rPr>
        <w:t xml:space="preserve">SHOULD</w:t>
      </w:r>
      <w:r>
        <w:t xml:space="preserve"> also carry a </w:t>
      </w:r>
      <w:r>
        <w:rPr>
          <w:rFonts w:ascii="Consolas" w:cs="Consolas" w:eastAsia="Consolas" w:hAnsi="Consolas"/>
          <w:color w:val="1A1D21"/>
          <w:sz w:val="18"/>
          <w:szCs w:val="18"/>
          <w:shd w:fill="F2F1ED" w:color="auto" w:val="clear"/>
        </w:rPr>
        <w:t xml:space="preserve">referenceDimension</w:t>
      </w:r>
      <w:r>
        <w:t xml:space="preserve">: a known real-world distance between two drawing coordinates. This makes a scale error detectable rather than silent, which matters because a plan imported at the wrong scale looks entirely correct until someone measures something (test PK-17).</w:t>
      </w:r>
    </w:p>
    <w:p>
      <w:pPr>
        <w:pStyle w:val="Heading2"/>
      </w:pPr>
      <w:r>
        <w:rPr>
          <w:color w:val="8C6D46"/>
        </w:rPr>
        <w:t xml:space="preserve">13.4</w:t>
      </w:r>
      <w:r>
        <w:t xml:space="preserve">  </w:t>
      </w:r>
      <w:r>
        <w:t xml:space="preserve">Elements and symbol roles</w:t>
      </w:r>
    </w:p>
    <w:p>
      <w:pPr>
        <w:pStyle w:val="BodyCopy"/>
      </w:pPr>
      <w:r>
        <w:t xml:space="preserve">A </w:t>
      </w:r>
      <w:r>
        <w:rPr>
          <w:rFonts w:ascii="Consolas" w:cs="Consolas" w:eastAsia="Consolas" w:hAnsi="Consolas"/>
          <w:color w:val="1A1D21"/>
          <w:sz w:val="18"/>
          <w:szCs w:val="18"/>
          <w:shd w:fill="F2F1ED" w:color="auto" w:val="clear"/>
        </w:rPr>
        <w:t xml:space="preserve">bus:Element</w:t>
      </w:r>
      <w:r>
        <w:t xml:space="preserve"> is a placed thing. It names its drawing and layer, and carries a transform, an </w:t>
      </w:r>
      <w:r>
        <w:rPr>
          <w:b/>
          <w:bCs/>
          <w:color w:val="8C6D46"/>
        </w:rPr>
        <w:t xml:space="preserve">OPTIONAL</w:t>
      </w:r>
      <w:r>
        <w:t xml:space="preserve"> z-order and group, an </w:t>
      </w:r>
      <w:r>
        <w:rPr>
          <w:b/>
          <w:bCs/>
          <w:color w:val="8C6D46"/>
        </w:rPr>
        <w:t xml:space="preserve">OPTIONAL</w:t>
      </w:r>
      <w:r>
        <w:t xml:space="preserve"> label, and an </w:t>
      </w:r>
      <w:r>
        <w:rPr>
          <w:b/>
          <w:bCs/>
          <w:color w:val="8C6D46"/>
        </w:rPr>
        <w:t xml:space="preserve">OPTIONAL</w:t>
      </w:r>
      <w:r>
        <w:t xml:space="preserve"> </w:t>
      </w:r>
      <w:r>
        <w:rPr>
          <w:rFonts w:ascii="Consolas" w:cs="Consolas" w:eastAsia="Consolas" w:hAnsi="Consolas"/>
          <w:color w:val="1A1D21"/>
          <w:sz w:val="18"/>
          <w:szCs w:val="18"/>
          <w:shd w:fill="F2F1ED" w:color="auto" w:val="clear"/>
        </w:rPr>
        <w:t xml:space="preserve">represents</w:t>
      </w:r>
      <w:r>
        <w:t xml:space="preserve"> naming the building entity it depicts.</w:t>
      </w:r>
    </w:p>
    <w:p>
      <w:pPr>
        <w:pStyle w:val="BodyCopy"/>
      </w:pPr>
      <w:r>
        <w:t xml:space="preserve">An element </w:t>
      </w:r>
      <w:r>
        <w:rPr>
          <w:b/>
          <w:bCs/>
          <w:color w:val="8C6D46"/>
        </w:rPr>
        <w:t xml:space="preserve">MUST</w:t>
      </w:r>
      <w:r>
        <w:t xml:space="preserve"> carry at least one of a </w:t>
      </w:r>
      <w:r>
        <w:rPr>
          <w:rFonts w:ascii="Consolas" w:cs="Consolas" w:eastAsia="Consolas" w:hAnsi="Consolas"/>
          <w:color w:val="1A1D21"/>
          <w:sz w:val="18"/>
          <w:szCs w:val="18"/>
          <w:shd w:fill="F2F1ED" w:color="auto" w:val="clear"/>
        </w:rPr>
        <w:t xml:space="preserve">role</w:t>
      </w:r>
      <w:r>
        <w:t xml:space="preserve">, a </w:t>
      </w:r>
      <w:r>
        <w:rPr>
          <w:rFonts w:ascii="Consolas" w:cs="Consolas" w:eastAsia="Consolas" w:hAnsi="Consolas"/>
          <w:color w:val="1A1D21"/>
          <w:sz w:val="18"/>
          <w:szCs w:val="18"/>
          <w:shd w:fill="F2F1ED" w:color="auto" w:val="clear"/>
        </w:rPr>
        <w:t xml:space="preserve">figure</w:t>
      </w:r>
      <w:r>
        <w:t xml:space="preserve">, or a </w:t>
      </w:r>
      <w:r>
        <w:rPr>
          <w:rFonts w:ascii="Consolas" w:cs="Consolas" w:eastAsia="Consolas" w:hAnsi="Consolas"/>
          <w:color w:val="1A1D21"/>
          <w:sz w:val="18"/>
          <w:szCs w:val="18"/>
          <w:shd w:fill="F2F1ED" w:color="auto" w:val="clear"/>
        </w:rPr>
        <w:t xml:space="preserve">geometry</w:t>
      </w:r>
      <w:r>
        <w:t xml:space="preserve">.</w:t>
      </w:r>
    </w:p>
    <w:p>
      <w:pPr>
        <w:pStyle w:val="Heading3"/>
      </w:pPr>
      <w:r>
        <w:rPr>
          <w:color w:val="8C6D46"/>
        </w:rPr>
        <w:t xml:space="preserve">13.4.1</w:t>
      </w:r>
      <w:r>
        <w:t xml:space="preserve">  </w:t>
      </w:r>
      <w:r>
        <w:t xml:space="preserve">Role mode</w:t>
      </w:r>
    </w:p>
    <w:p>
      <w:pPr>
        <w:pStyle w:val="BodyCopy"/>
      </w:pPr>
      <w:r>
        <w:t xml:space="preserve">In role mode the package states that at a location, rotated, on a layer, there is an element of a declared symbol role. </w:t>
      </w:r>
      <w:r>
        <w:rPr>
          <w:b/>
          <w:bCs/>
          <w:color w:val="1A1D21"/>
        </w:rPr>
        <w:t xml:space="preserve">The receiving system supplies the artwork.</w:t>
      </w:r>
    </w:p>
    <w:tbl>
      <w:tblPr>
        <w:tblW w:type="dxa" w:w="9072"/>
        <w:tblBorders>
          <w:top w:val="none" w:color="FFFFFF" w:sz="0"/>
          <w:left w:val="single" w:color="D9D4C9" w:sz="12"/>
          <w:bottom w:val="none" w:color="FFFFFF" w:sz="0"/>
          <w:right w:val="none" w:color="FFFFFF" w:sz="0"/>
          <w:insideH w:val="none" w:color="FFFFFF" w:sz="0"/>
          <w:insideV w:val="none" w:color="FFFFFF" w:sz="0"/>
        </w:tblBorders>
        <w:tblLayout w:type="fixed"/>
      </w:tblPr>
      <w:tblGrid>
        <w:gridCol w:w="9072"/>
      </w:tblGrid>
      <w:tr>
        <w:trPr>
          <w:cantSplit w:val="false"/>
        </w:trPr>
        <w:tc>
          <w:tcPr>
            <w:tcW w:type="dxa" w:w="9072"/>
            <w:shd w:fill="F2F1ED" w:color="auto" w:val="clear"/>
            <w:tcMar>
              <w:top w:type="dxa" w:w="160"/>
              <w:left w:type="dxa" w:w="220"/>
              <w:bottom w:type="dxa" w:w="160"/>
              <w:right w:type="dxa" w:w="200"/>
            </w:tcMar>
          </w:tcPr>
          <w:p>
            <w:pPr>
              <w:spacing w:after="20" w:line="240"/>
            </w:pPr>
            <w:r>
              <w:rPr>
                <w:rFonts w:ascii="Consolas" w:cs="Consolas" w:eastAsia="Consolas" w:hAnsi="Consolas"/>
                <w:color w:val="1A1D21"/>
                <w:sz w:val="16"/>
                <w:szCs w:val="16"/>
              </w:rPr>
              <w:t xml:space="preserve">{ "type": "bus:Element",</w:t>
            </w:r>
          </w:p>
          <w:p>
            <w:pPr>
              <w:spacing w:after="20" w:line="240"/>
            </w:pPr>
            <w:r>
              <w:rPr>
                <w:rFonts w:ascii="Consolas" w:cs="Consolas" w:eastAsia="Consolas" w:hAnsi="Consolas"/>
                <w:color w:val="1A1D21"/>
                <w:sz w:val="16"/>
                <w:szCs w:val="16"/>
              </w:rPr>
              <w:t xml:space="preserve">  "localId": "AHU-SF",</w:t>
            </w:r>
          </w:p>
          <w:p>
            <w:pPr>
              <w:spacing w:after="20" w:line="240"/>
            </w:pPr>
            <w:r>
              <w:rPr>
                <w:rFonts w:ascii="Consolas" w:cs="Consolas" w:eastAsia="Consolas" w:hAnsi="Consolas"/>
                <w:color w:val="1A1D21"/>
                <w:sz w:val="16"/>
                <w:szCs w:val="16"/>
              </w:rPr>
              <w:t xml:space="preserve">  "drawing": "urn:uuid:...602", "layer": "urn:uuid:...617",</w:t>
            </w:r>
          </w:p>
          <w:p>
            <w:pPr>
              <w:spacing w:after="20" w:line="240"/>
            </w:pPr>
            <w:r>
              <w:rPr>
                <w:rFonts w:ascii="Consolas" w:cs="Consolas" w:eastAsia="Consolas" w:hAnsi="Consolas"/>
                <w:color w:val="1A1D21"/>
                <w:sz w:val="16"/>
                <w:szCs w:val="16"/>
              </w:rPr>
              <w:t xml:space="preserve">  "role": "fan.centrifugal.supply",</w:t>
            </w:r>
          </w:p>
          <w:p>
            <w:pPr>
              <w:spacing w:after="20" w:line="240"/>
            </w:pPr>
            <w:r>
              <w:rPr>
                <w:rFonts w:ascii="Consolas" w:cs="Consolas" w:eastAsia="Consolas" w:hAnsi="Consolas"/>
                <w:color w:val="1A1D21"/>
                <w:sz w:val="16"/>
                <w:szCs w:val="16"/>
              </w:rPr>
              <w:t xml:space="preserve">  "represents": "urn:uuid:...051",</w:t>
            </w:r>
          </w:p>
          <w:p>
            <w:pPr>
              <w:spacing w:after="20" w:line="240"/>
            </w:pPr>
            <w:r>
              <w:rPr>
                <w:rFonts w:ascii="Consolas" w:cs="Consolas" w:eastAsia="Consolas" w:hAnsi="Consolas"/>
                <w:color w:val="1A1D21"/>
                <w:sz w:val="16"/>
                <w:szCs w:val="16"/>
              </w:rPr>
              <w:t xml:space="preserve">  "transform": { "x": 1120, "y": 380, "rotation": 0 },</w:t>
            </w:r>
          </w:p>
          <w:p>
            <w:pPr>
              <w:spacing w:after="0" w:line="240"/>
            </w:pPr>
            <w:r>
              <w:rPr>
                <w:rFonts w:ascii="Consolas" w:cs="Consolas" w:eastAsia="Consolas" w:hAnsi="Consolas"/>
                <w:color w:val="1A1D21"/>
                <w:sz w:val="16"/>
                <w:szCs w:val="16"/>
              </w:rPr>
              <w:t xml:space="preserve">  "zOrder": 5 }</w:t>
            </w:r>
          </w:p>
        </w:tc>
      </w:tr>
    </w:tbl>
    <w:p>
      <w:pPr>
        <w:pStyle w:val="BodyCopy"/>
      </w:pPr>
      <w:r>
        <w:t xml:space="preserve">This is what preserves the owner’s survey, placement, and bindings in full while leaving the vendor’s design system entirely untouched. Vendor A draws a flat icon; Vendor B draws a rendered one; both are conforming, and neither has been asked to adopt the other’s visual language.</w:t>
      </w:r>
    </w:p>
    <w:p>
      <w:pPr>
        <w:pStyle w:val="NoteCopy"/>
      </w:pPr>
      <w:r>
        <w:rPr>
          <w:b/>
          <w:bCs/>
          <w:color w:val="70757C"/>
          <w:sz w:val="18"/>
          <w:szCs w:val="18"/>
        </w:rPr>
        <w:t xml:space="preserve">NOTE </w:t>
      </w:r>
      <w:r>
        <w:rPr>
          <w:color w:val="70757C"/>
          <w:sz w:val="18"/>
          <w:szCs w:val="18"/>
        </w:rPr>
        <w:t xml:space="preserve">The mechanism is not speculative. IEC 61970-453, the CIM Diagram Layout Profile, exchanges power-system diagram layout with links to modeled objects and explicitly leaves the symbol library to the receiver. It has been in production use for over a decade.</w:t>
      </w:r>
    </w:p>
    <w:p>
      <w:pPr>
        <w:pStyle w:val="Heading3"/>
      </w:pPr>
      <w:r>
        <w:rPr>
          <w:color w:val="8C6D46"/>
        </w:rPr>
        <w:t xml:space="preserve">13.4.2</w:t>
      </w:r>
      <w:r>
        <w:t xml:space="preserve">  </w:t>
      </w:r>
      <w:r>
        <w:t xml:space="preserve">Role fallback</w:t>
      </w:r>
    </w:p>
    <w:p>
      <w:pPr>
        <w:pStyle w:val="BodyCopy"/>
      </w:pPr>
      <w:r>
        <w:t xml:space="preserve">A symbol role is a hierarchical dotted path. Roles degrade by truncation: </w:t>
      </w:r>
      <w:r>
        <w:rPr>
          <w:rFonts w:ascii="Consolas" w:cs="Consolas" w:eastAsia="Consolas" w:hAnsi="Consolas"/>
          <w:color w:val="1A1D21"/>
          <w:sz w:val="18"/>
          <w:szCs w:val="18"/>
          <w:shd w:fill="F2F1ED" w:color="auto" w:val="clear"/>
        </w:rPr>
        <w:t xml:space="preserve">fan.centrifugal.supply</w:t>
      </w:r>
      <w:r>
        <w:t xml:space="preserve"> to </w:t>
      </w:r>
      <w:r>
        <w:rPr>
          <w:rFonts w:ascii="Consolas" w:cs="Consolas" w:eastAsia="Consolas" w:hAnsi="Consolas"/>
          <w:color w:val="1A1D21"/>
          <w:sz w:val="18"/>
          <w:szCs w:val="18"/>
          <w:shd w:fill="F2F1ED" w:color="auto" w:val="clear"/>
        </w:rPr>
        <w:t xml:space="preserve">fan.centrifugal</w:t>
      </w:r>
      <w:r>
        <w:t xml:space="preserve"> to </w:t>
      </w:r>
      <w:r>
        <w:rPr>
          <w:rFonts w:ascii="Consolas" w:cs="Consolas" w:eastAsia="Consolas" w:hAnsi="Consolas"/>
          <w:color w:val="1A1D21"/>
          <w:sz w:val="18"/>
          <w:szCs w:val="18"/>
          <w:shd w:fill="F2F1ED" w:color="auto" w:val="clear"/>
        </w:rPr>
        <w:t xml:space="preserve">fan</w:t>
      </w:r>
      <w:r>
        <w:t xml:space="preserve">.</w:t>
      </w:r>
    </w:p>
    <w:tbl>
      <w:tblPr>
        <w:tblW w:type="dxa" w:w="9072"/>
        <w:tblBorders>
          <w:top w:val="none" w:color="FFFFFF" w:sz="0"/>
          <w:left w:val="single" w:color="8C6D46" w:sz="24"/>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F5F3EE" w:color="auto" w:val="clear"/>
            <w:tcMar>
              <w:top w:type="dxa" w:w="200"/>
              <w:left w:type="dxa" w:w="260"/>
              <w:bottom w:type="dxa" w:w="200"/>
              <w:right w:type="dxa" w:w="260"/>
            </w:tcMar>
          </w:tcPr>
          <w:p>
            <w:pPr>
              <w:spacing w:after="80"/>
            </w:pPr>
            <w:r>
              <w:rPr>
                <w:rFonts w:ascii="Georgia" w:cs="Georgia" w:eastAsia="Georgia" w:hAnsi="Georgia"/>
                <w:b/>
                <w:bCs/>
                <w:color w:val="1A1D21"/>
                <w:sz w:val="22"/>
                <w:szCs w:val="22"/>
              </w:rPr>
              <w:t xml:space="preserve">Requirement 13.4-1</w:t>
            </w:r>
          </w:p>
          <w:p>
            <w:pPr>
              <w:spacing w:after="0" w:line="280"/>
            </w:pPr>
            <w:r>
              <w:rPr>
                <w:sz w:val="20"/>
                <w:szCs w:val="20"/>
              </w:rPr>
              <w:t xml:space="preserve">An importer encountering a symbol role it does not implement </w:t>
            </w:r>
            <w:r>
              <w:rPr>
                <w:b/>
                <w:bCs/>
                <w:color w:val="8C6D46"/>
                <w:sz w:val="20"/>
                <w:szCs w:val="20"/>
              </w:rPr>
              <w:t xml:space="preserve">MUST</w:t>
            </w:r>
            <w:r>
              <w:rPr>
                <w:sz w:val="20"/>
                <w:szCs w:val="20"/>
              </w:rPr>
              <w:t xml:space="preserve"> truncate the role at successive dots and render at the deepest ancestor it does implement. It </w:t>
            </w:r>
            <w:r>
              <w:rPr>
                <w:b/>
                <w:bCs/>
                <w:color w:val="8C6D46"/>
                <w:sz w:val="20"/>
                <w:szCs w:val="20"/>
              </w:rPr>
              <w:t xml:space="preserve">MUST NOT</w:t>
            </w:r>
            <w:r>
              <w:rPr>
                <w:sz w:val="20"/>
                <w:szCs w:val="20"/>
              </w:rPr>
              <w:t xml:space="preserve"> refuse the package or drop the element. It </w:t>
            </w:r>
            <w:r>
              <w:rPr>
                <w:b/>
                <w:bCs/>
                <w:color w:val="8C6D46"/>
                <w:sz w:val="20"/>
                <w:szCs w:val="20"/>
              </w:rPr>
              <w:t xml:space="preserve">MUST</w:t>
            </w:r>
            <w:r>
              <w:rPr>
                <w:sz w:val="20"/>
                <w:szCs w:val="20"/>
              </w:rPr>
              <w:t xml:space="preserve"> re-export the original leaf role unchanged; substituting the ancestor into the exported data is a conformance failure (tests IM-6 and RT-19).</w:t>
            </w:r>
          </w:p>
        </w:tc>
      </w:tr>
    </w:tbl>
    <w:p>
      <w:pPr>
        <w:spacing w:after="120"/>
      </w:pPr>
      <w:r>
        <w:rPr>
          <w:sz w:val="2"/>
          <w:szCs w:val="2"/>
        </w:rPr>
        <w:t xml:space="preserve"/>
      </w:r>
    </w:p>
    <w:p>
      <w:pPr>
        <w:pStyle w:val="BodyCopy"/>
      </w:pPr>
      <w:r>
        <w:t xml:space="preserve">This is what allows the vocabulary to grow indefinitely without breaking deployed importers, and it is the same property that abstract types give the entity model (8.2). Annex B defines the first tier: fifty-two roots with seventy-five named leaves.</w:t>
      </w:r>
    </w:p>
    <w:p>
      <w:pPr>
        <w:pStyle w:val="Heading3"/>
      </w:pPr>
      <w:r>
        <w:rPr>
          <w:color w:val="8C6D46"/>
        </w:rPr>
        <w:t xml:space="preserve">13.4.3</w:t>
      </w:r>
      <w:r>
        <w:t xml:space="preserve">  </w:t>
      </w:r>
      <w:r>
        <w:t xml:space="preserve">Figure mode</w:t>
      </w:r>
    </w:p>
    <w:p>
      <w:pPr>
        <w:spacing w:after="160" w:before="0"/>
      </w:pPr>
      <w:r>
        <w:rPr>
          <w:rFonts w:ascii="Calibri" w:cs="Calibri" w:eastAsia="Calibri" w:hAnsi="Calibri"/>
          <w:b/>
          <w:bCs/>
          <w:color w:val="8C6D46"/>
          <w:spacing w:val="40"/>
          <w:sz w:val="14"/>
          <w:szCs w:val="14"/>
        </w:rPr>
        <w:t xml:space="preserve">PROVISIONAL</w:t>
      </w:r>
      <w:r>
        <w:t xml:space="preserve">   </w:t>
      </w:r>
      <w:r>
        <w:rPr>
          <w:i/>
          <w:iCs/>
          <w:color w:val="70757C"/>
          <w:sz w:val="17"/>
          <w:szCs w:val="17"/>
        </w:rPr>
        <w:t xml:space="preserve">The neutral vector format is named and not specified. An element in figure mode is portable in principle and not yet portable in practice.</w:t>
      </w:r>
    </w:p>
    <w:p>
      <w:pPr>
        <w:pStyle w:val="BodyCopy"/>
      </w:pPr>
      <w:r>
        <w:t xml:space="preserve">Sometimes the owner paid for the artwork itself: a bespoke plant schematic, a one-line an engineer drew, a symbol no vocabulary contains. In figure mode an element carries a neutral vector payload, inline or as a resource, that a receiver </w:t>
      </w:r>
      <w:r>
        <w:rPr>
          <w:b/>
          <w:bCs/>
          <w:color w:val="8C6D46"/>
        </w:rPr>
        <w:t xml:space="preserve">MUST</w:t>
      </w:r>
      <w:r>
        <w:t xml:space="preserve"> render substantially as given rather than replacing with a library symbol (test RT-20).</w:t>
      </w:r>
    </w:p>
    <w:p>
      <w:pPr>
        <w:pStyle w:val="BodyCopy"/>
      </w:pPr>
      <w:r>
        <w:t xml:space="preserve">An element </w:t>
      </w:r>
      <w:r>
        <w:rPr>
          <w:b/>
          <w:bCs/>
          <w:color w:val="8C6D46"/>
        </w:rPr>
        <w:t xml:space="preserve">MAY</w:t>
      </w:r>
      <w:r>
        <w:t xml:space="preserve"> carry both a role and a figure. Where it does, the role is a hint for receivers that prefer their own library and the figure is the fallback. An exporter </w:t>
      </w:r>
      <w:r>
        <w:rPr>
          <w:b/>
          <w:bCs/>
          <w:color w:val="8C6D46"/>
        </w:rPr>
        <w:t xml:space="preserve">SHOULD</w:t>
      </w:r>
      <w:r>
        <w:t xml:space="preserve"> prefer role mode where a role fits, because role mode is what lets the receiving vendor apply its own design system.</w:t>
      </w:r>
    </w:p>
    <w:p>
      <w:pPr>
        <w:pStyle w:val="Heading2"/>
      </w:pPr>
      <w:r>
        <w:rPr>
          <w:color w:val="8C6D46"/>
        </w:rPr>
        <w:t xml:space="preserve">13.5</w:t>
      </w:r>
      <w:r>
        <w:t xml:space="preserve">  </w:t>
      </w:r>
      <w:r>
        <w:t xml:space="preserve">Geometry</w:t>
      </w:r>
    </w:p>
    <w:p>
      <w:pPr>
        <w:pStyle w:val="BodyCopy"/>
      </w:pPr>
      <w:r>
        <w:t xml:space="preserve">An element </w:t>
      </w:r>
      <w:r>
        <w:rPr>
          <w:b/>
          <w:bCs/>
          <w:color w:val="8C6D46"/>
        </w:rPr>
        <w:t xml:space="preserve">MAY</w:t>
      </w:r>
      <w:r>
        <w:t xml:space="preserve"> carry </w:t>
      </w:r>
      <w:r>
        <w:rPr>
          <w:rFonts w:ascii="Consolas" w:cs="Consolas" w:eastAsia="Consolas" w:hAnsi="Consolas"/>
          <w:color w:val="1A1D21"/>
          <w:sz w:val="18"/>
          <w:szCs w:val="18"/>
          <w:shd w:fill="F2F1ED" w:color="auto" w:val="clear"/>
        </w:rPr>
        <w:t xml:space="preserve">geometry</w:t>
      </w:r>
      <w:r>
        <w:t xml:space="preserve">: a point, polyline, polygon, rectangle, circle, arc, or path, expressed as a flat array of alternating x and y values in drawing units, with </w:t>
      </w:r>
      <w:r>
        <w:rPr>
          <w:b/>
          <w:bCs/>
          <w:color w:val="8C6D46"/>
        </w:rPr>
        <w:t xml:space="preserve">OPTIONAL</w:t>
      </w:r>
      <w:r>
        <w:t xml:space="preserve"> holes for polygons.</w:t>
      </w:r>
    </w:p>
    <w:p>
      <w:pPr>
        <w:pStyle w:val="BodyCopy"/>
      </w:pPr>
      <w:r>
        <w:t xml:space="preserve">The single most valuable use of geometry is a </w:t>
      </w:r>
      <w:r>
        <w:rPr>
          <w:b/>
          <w:bCs/>
          <w:color w:val="1A1D21"/>
        </w:rPr>
        <w:t xml:space="preserve">space boundary polygon carrying the identifier of the space it bounds</w:t>
      </w:r>
      <w:r>
        <w:t xml:space="preserve">. That is what turns a plan from a picture into a view of the model: every downstream capability — coloring a floor plan by temperature, locating an alarm, computing an area, finding which zone a complaint came from — depends on it, and none of it is possible from a drawing file.</w:t>
      </w:r>
    </w:p>
    <w:tbl>
      <w:tblPr>
        <w:tblW w:type="dxa" w:w="9072"/>
        <w:tblBorders>
          <w:top w:val="none" w:color="FFFFFF" w:sz="0"/>
          <w:left w:val="single" w:color="D9D4C9" w:sz="12"/>
          <w:bottom w:val="none" w:color="FFFFFF" w:sz="0"/>
          <w:right w:val="none" w:color="FFFFFF" w:sz="0"/>
          <w:insideH w:val="none" w:color="FFFFFF" w:sz="0"/>
          <w:insideV w:val="none" w:color="FFFFFF" w:sz="0"/>
        </w:tblBorders>
        <w:tblLayout w:type="fixed"/>
      </w:tblPr>
      <w:tblGrid>
        <w:gridCol w:w="9072"/>
      </w:tblGrid>
      <w:tr>
        <w:trPr>
          <w:cantSplit w:val="false"/>
        </w:trPr>
        <w:tc>
          <w:tcPr>
            <w:tcW w:type="dxa" w:w="9072"/>
            <w:shd w:fill="F2F1ED" w:color="auto" w:val="clear"/>
            <w:tcMar>
              <w:top w:type="dxa" w:w="160"/>
              <w:left w:type="dxa" w:w="220"/>
              <w:bottom w:type="dxa" w:w="160"/>
              <w:right w:type="dxa" w:w="200"/>
            </w:tcMar>
          </w:tcPr>
          <w:p>
            <w:pPr>
              <w:spacing w:after="20" w:line="240"/>
            </w:pPr>
            <w:r>
              <w:rPr>
                <w:rFonts w:ascii="Consolas" w:cs="Consolas" w:eastAsia="Consolas" w:hAnsi="Consolas"/>
                <w:color w:val="1A1D21"/>
                <w:sz w:val="16"/>
                <w:szCs w:val="16"/>
              </w:rPr>
              <w:t xml:space="preserve">{ "type": "bus:Element", "localId": "L2-SP-201",</w:t>
            </w:r>
          </w:p>
          <w:p>
            <w:pPr>
              <w:spacing w:after="20" w:line="240"/>
            </w:pPr>
            <w:r>
              <w:rPr>
                <w:rFonts w:ascii="Consolas" w:cs="Consolas" w:eastAsia="Consolas" w:hAnsi="Consolas"/>
                <w:color w:val="1A1D21"/>
                <w:sz w:val="16"/>
                <w:szCs w:val="16"/>
              </w:rPr>
              <w:t xml:space="preserve">  "layer": "&lt;spaces layer&gt;", "represents": "&lt;Open Office 201&gt;",</w:t>
            </w:r>
          </w:p>
          <w:p>
            <w:pPr>
              <w:spacing w:after="20" w:line="240"/>
            </w:pPr>
            <w:r>
              <w:rPr>
                <w:rFonts w:ascii="Consolas" w:cs="Consolas" w:eastAsia="Consolas" w:hAnsi="Consolas"/>
                <w:color w:val="1A1D21"/>
                <w:sz w:val="16"/>
                <w:szCs w:val="16"/>
              </w:rPr>
              <w:t xml:space="preserve">  "geometry": { "kind": "polygon", "closed": true,</w:t>
            </w:r>
          </w:p>
          <w:p>
            <w:pPr>
              <w:spacing w:after="0" w:line="240"/>
            </w:pPr>
            <w:r>
              <w:rPr>
                <w:rFonts w:ascii="Consolas" w:cs="Consolas" w:eastAsia="Consolas" w:hAnsi="Consolas"/>
                <w:color w:val="1A1D21"/>
                <w:sz w:val="16"/>
                <w:szCs w:val="16"/>
              </w:rPr>
              <w:t xml:space="preserve">                "coordinates": [2, 18, 34, 18, 34, 32, 2, 32] } }</w:t>
            </w:r>
          </w:p>
        </w:tc>
      </w:tr>
    </w:tbl>
    <w:p>
      <w:pPr>
        <w:pStyle w:val="BodyCopy"/>
      </w:pPr>
      <w:r>
        <w:t xml:space="preserve">Geometry fidelity is tested to one part in ten thousand of the drawing extent (test RT-18), which is tighter than any plausible rendering difference and looser than floating-point representation noise.</w:t>
      </w:r>
    </w:p>
    <w:p>
      <w:pPr>
        <w:pStyle w:val="Heading2"/>
      </w:pPr>
      <w:r>
        <w:rPr>
          <w:color w:val="8C6D46"/>
        </w:rPr>
        <w:t xml:space="preserve">13.6</w:t>
      </w:r>
      <w:r>
        <w:t xml:space="preserve">  </w:t>
      </w:r>
      <w:r>
        <w:t xml:space="preserve">Bindings</w:t>
      </w:r>
    </w:p>
    <w:p>
      <w:pPr>
        <w:pStyle w:val="BodyCopy"/>
      </w:pPr>
      <w:r>
        <w:t xml:space="preserve">A </w:t>
      </w:r>
      <w:r>
        <w:rPr>
          <w:rFonts w:ascii="Consolas" w:cs="Consolas" w:eastAsia="Consolas" w:hAnsi="Consolas"/>
          <w:color w:val="1A1D21"/>
          <w:sz w:val="18"/>
          <w:szCs w:val="18"/>
          <w:shd w:fill="F2F1ED" w:color="auto" w:val="clear"/>
        </w:rPr>
        <w:t xml:space="preserve">bus:Binding</w:t>
      </w:r>
      <w:r>
        <w:t xml:space="preserve"> declares that an element is driven by, or writes to, a building entity. Both endpoints are intrinsic to it, exactly as a relationship names its subject and object, and no separate relationship is created.</w:t>
      </w:r>
    </w:p>
    <w:p>
      <w:pPr>
        <w:pStyle w:val="NoteCopy"/>
      </w:pPr>
      <w:r>
        <w:rPr>
          <w:b/>
          <w:bCs/>
          <w:color w:val="70757C"/>
          <w:sz w:val="18"/>
          <w:szCs w:val="18"/>
        </w:rPr>
        <w:t xml:space="preserve">NOTE </w:t>
      </w:r>
      <w:r>
        <w:rPr>
          <w:color w:val="70757C"/>
          <w:sz w:val="18"/>
          <w:szCs w:val="18"/>
        </w:rPr>
        <w:t xml:space="preserve">This is a deliberate departure from 5.3.2. A binding carries a value-mapping table, which is more structure than relationship qualifiers should hold; and naming endpoints intrinsically avoids generating eight thousand relationship entities for a plan with four thousand bindings. Making it an entity rather than a property means bindings carry provenance and revision, so the fact that an element was repointed in 2019 becomes visible — bindings drift constantly and at present nobody can prove it.</w:t>
      </w:r>
    </w:p>
    <w:p>
      <w:pPr>
        <w:pStyle w:val="Heading3"/>
      </w:pPr>
      <w:r>
        <w:rPr>
          <w:color w:val="8C6D46"/>
        </w:rPr>
        <w:t xml:space="preserve">13.6.1</w:t>
      </w:r>
      <w:r>
        <w:t xml:space="preserve">  </w:t>
      </w:r>
      <w:r>
        <w:t xml:space="preserve">Channels</w:t>
      </w:r>
    </w:p>
    <w:p>
      <w:pPr>
        <w:pStyle w:val="BodyCopy"/>
      </w:pPr>
      <w:r>
        <w:t xml:space="preserve">A binding names a </w:t>
      </w:r>
      <w:r>
        <w:rPr>
          <w:rFonts w:ascii="Consolas" w:cs="Consolas" w:eastAsia="Consolas" w:hAnsi="Consolas"/>
          <w:color w:val="1A1D21"/>
          <w:sz w:val="18"/>
          <w:szCs w:val="18"/>
          <w:shd w:fill="F2F1ED" w:color="auto" w:val="clear"/>
        </w:rPr>
        <w:t xml:space="preserve">channel</w:t>
      </w:r>
      <w:r>
        <w:t xml:space="preserve">: the aspect of the element the value drives. The vocabulary is closed and may be extended only by a MINOR version.</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1800"/>
        <w:gridCol w:w="7272"/>
      </w:tblGrid>
      <w:tr>
        <w:trPr>
          <w:cantSplit/>
          <w:tblHeader/>
        </w:trPr>
        <w:tc>
          <w:tcPr>
            <w:tcW w:type="dxa" w:w="18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Channel</w:t>
            </w:r>
          </w:p>
        </w:tc>
        <w:tc>
          <w:tcPr>
            <w:tcW w:type="dxa" w:w="72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Drives</w:t>
            </w:r>
          </w:p>
        </w:tc>
      </w:tr>
      <w:tr>
        <w:trPr>
          <w:cantSplit/>
        </w:trPr>
        <w:tc>
          <w:tcPr>
            <w:tcW w:type="dxa" w:w="18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value</w:t>
            </w:r>
          </w:p>
        </w:tc>
        <w:tc>
          <w:tcPr>
            <w:tcW w:type="dxa" w:w="7272"/>
            <w:shd w:fill="FFFFFF" w:color="auto" w:val="clear"/>
            <w:tcMar>
              <w:top w:type="dxa" w:w="120"/>
              <w:left w:type="dxa" w:w="160"/>
              <w:bottom w:type="dxa" w:w="120"/>
              <w:right w:type="dxa" w:w="160"/>
            </w:tcMar>
            <w:vAlign w:val="top"/>
          </w:tcPr>
          <w:p>
            <w:pPr>
              <w:spacing w:after="0" w:line="260"/>
            </w:pPr>
            <w:r>
              <w:rPr>
                <w:sz w:val="18"/>
                <w:szCs w:val="18"/>
              </w:rPr>
              <w:t xml:space="preserve">A displayed numeric or text value.</w:t>
            </w:r>
          </w:p>
        </w:tc>
      </w:tr>
      <w:tr>
        <w:trPr>
          <w:cantSplit/>
        </w:trPr>
        <w:tc>
          <w:tcPr>
            <w:tcW w:type="dxa" w:w="18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state</w:t>
            </w:r>
          </w:p>
        </w:tc>
        <w:tc>
          <w:tcPr>
            <w:tcW w:type="dxa" w:w="7272"/>
            <w:shd w:fill="FAF9F6" w:color="auto" w:val="clear"/>
            <w:tcMar>
              <w:top w:type="dxa" w:w="120"/>
              <w:left w:type="dxa" w:w="160"/>
              <w:bottom w:type="dxa" w:w="120"/>
              <w:right w:type="dxa" w:w="160"/>
            </w:tcMar>
            <w:vAlign w:val="top"/>
          </w:tcPr>
          <w:p>
            <w:pPr>
              <w:spacing w:after="0" w:line="260"/>
            </w:pPr>
            <w:r>
              <w:rPr>
                <w:sz w:val="18"/>
                <w:szCs w:val="18"/>
              </w:rPr>
              <w:t xml:space="preserve">Selection among named element states.</w:t>
            </w:r>
          </w:p>
        </w:tc>
      </w:tr>
      <w:tr>
        <w:trPr>
          <w:cantSplit/>
        </w:trPr>
        <w:tc>
          <w:tcPr>
            <w:tcW w:type="dxa" w:w="18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visibility</w:t>
            </w:r>
          </w:p>
        </w:tc>
        <w:tc>
          <w:tcPr>
            <w:tcW w:type="dxa" w:w="7272"/>
            <w:shd w:fill="FFFFFF" w:color="auto" w:val="clear"/>
            <w:tcMar>
              <w:top w:type="dxa" w:w="120"/>
              <w:left w:type="dxa" w:w="160"/>
              <w:bottom w:type="dxa" w:w="120"/>
              <w:right w:type="dxa" w:w="160"/>
            </w:tcMar>
            <w:vAlign w:val="top"/>
          </w:tcPr>
          <w:p>
            <w:pPr>
              <w:spacing w:after="0" w:line="260"/>
            </w:pPr>
            <w:r>
              <w:rPr>
                <w:sz w:val="18"/>
                <w:szCs w:val="18"/>
              </w:rPr>
              <w:t xml:space="preserve">Whether the element is shown.</w:t>
            </w:r>
          </w:p>
        </w:tc>
      </w:tr>
      <w:tr>
        <w:trPr>
          <w:cantSplit/>
        </w:trPr>
        <w:tc>
          <w:tcPr>
            <w:tcW w:type="dxa" w:w="18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fill</w:t>
            </w:r>
            <w:r>
              <w:rPr>
                <w:sz w:val="18"/>
                <w:szCs w:val="18"/>
              </w:rPr>
              <w:t xml:space="preserve">, </w:t>
            </w:r>
            <w:r>
              <w:rPr>
                <w:rFonts w:ascii="Consolas" w:cs="Consolas" w:eastAsia="Consolas" w:hAnsi="Consolas"/>
                <w:color w:val="1A1D21"/>
                <w:sz w:val="15"/>
                <w:szCs w:val="15"/>
                <w:shd w:fill="F2F1ED" w:color="auto" w:val="clear"/>
              </w:rPr>
              <w:t xml:space="preserve">stroke</w:t>
            </w:r>
          </w:p>
        </w:tc>
        <w:tc>
          <w:tcPr>
            <w:tcW w:type="dxa" w:w="7272"/>
            <w:shd w:fill="FAF9F6" w:color="auto" w:val="clear"/>
            <w:tcMar>
              <w:top w:type="dxa" w:w="120"/>
              <w:left w:type="dxa" w:w="160"/>
              <w:bottom w:type="dxa" w:w="120"/>
              <w:right w:type="dxa" w:w="160"/>
            </w:tcMar>
            <w:vAlign w:val="top"/>
          </w:tcPr>
          <w:p>
            <w:pPr>
              <w:spacing w:after="0" w:line="260"/>
            </w:pPr>
            <w:r>
              <w:rPr>
                <w:sz w:val="18"/>
                <w:szCs w:val="18"/>
              </w:rPr>
              <w:t xml:space="preserve">Selection among named fill or stroke states. Not a color: the receiver chooses the color.</w:t>
            </w:r>
          </w:p>
        </w:tc>
      </w:tr>
      <w:tr>
        <w:trPr>
          <w:cantSplit/>
        </w:trPr>
        <w:tc>
          <w:tcPr>
            <w:tcW w:type="dxa" w:w="18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rotation</w:t>
            </w:r>
            <w:r>
              <w:rPr>
                <w:sz w:val="18"/>
                <w:szCs w:val="18"/>
              </w:rPr>
              <w:t xml:space="preserve">, </w:t>
            </w:r>
            <w:r>
              <w:rPr>
                <w:rFonts w:ascii="Consolas" w:cs="Consolas" w:eastAsia="Consolas" w:hAnsi="Consolas"/>
                <w:color w:val="1A1D21"/>
                <w:sz w:val="15"/>
                <w:szCs w:val="15"/>
                <w:shd w:fill="F2F1ED" w:color="auto" w:val="clear"/>
              </w:rPr>
              <w:t xml:space="preserve">position</w:t>
            </w:r>
            <w:r>
              <w:rPr>
                <w:sz w:val="18"/>
                <w:szCs w:val="18"/>
              </w:rPr>
              <w:t xml:space="preserve">, </w:t>
            </w:r>
            <w:r>
              <w:rPr>
                <w:rFonts w:ascii="Consolas" w:cs="Consolas" w:eastAsia="Consolas" w:hAnsi="Consolas"/>
                <w:color w:val="1A1D21"/>
                <w:sz w:val="15"/>
                <w:szCs w:val="15"/>
                <w:shd w:fill="F2F1ED" w:color="auto" w:val="clear"/>
              </w:rPr>
              <w:t xml:space="preserve">scale</w:t>
            </w:r>
          </w:p>
        </w:tc>
        <w:tc>
          <w:tcPr>
            <w:tcW w:type="dxa" w:w="7272"/>
            <w:shd w:fill="FFFFFF" w:color="auto" w:val="clear"/>
            <w:tcMar>
              <w:top w:type="dxa" w:w="120"/>
              <w:left w:type="dxa" w:w="160"/>
              <w:bottom w:type="dxa" w:w="120"/>
              <w:right w:type="dxa" w:w="160"/>
            </w:tcMar>
            <w:vAlign w:val="top"/>
          </w:tcPr>
          <w:p>
            <w:pPr>
              <w:spacing w:after="0" w:line="260"/>
            </w:pPr>
            <w:r>
              <w:rPr>
                <w:sz w:val="18"/>
                <w:szCs w:val="18"/>
              </w:rPr>
              <w:t xml:space="preserve">Geometric transformation, for dampers, valves, sliders, and level indicators.</w:t>
            </w:r>
          </w:p>
        </w:tc>
      </w:tr>
      <w:tr>
        <w:trPr>
          <w:cantSplit/>
        </w:trPr>
        <w:tc>
          <w:tcPr>
            <w:tcW w:type="dxa" w:w="18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opacity</w:t>
            </w:r>
          </w:p>
        </w:tc>
        <w:tc>
          <w:tcPr>
            <w:tcW w:type="dxa" w:w="7272"/>
            <w:shd w:fill="FAF9F6" w:color="auto" w:val="clear"/>
            <w:tcMar>
              <w:top w:type="dxa" w:w="120"/>
              <w:left w:type="dxa" w:w="160"/>
              <w:bottom w:type="dxa" w:w="120"/>
              <w:right w:type="dxa" w:w="160"/>
            </w:tcMar>
            <w:vAlign w:val="top"/>
          </w:tcPr>
          <w:p>
            <w:pPr>
              <w:spacing w:after="0" w:line="260"/>
            </w:pPr>
            <w:r>
              <w:rPr>
                <w:sz w:val="18"/>
                <w:szCs w:val="18"/>
              </w:rPr>
              <w:t xml:space="preserve">Transparency.</w:t>
            </w:r>
          </w:p>
        </w:tc>
      </w:tr>
      <w:tr>
        <w:trPr>
          <w:cantSplit/>
        </w:trPr>
        <w:tc>
          <w:tcPr>
            <w:tcW w:type="dxa" w:w="18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label</w:t>
            </w:r>
          </w:p>
        </w:tc>
        <w:tc>
          <w:tcPr>
            <w:tcW w:type="dxa" w:w="7272"/>
            <w:shd w:fill="FFFFFF" w:color="auto" w:val="clear"/>
            <w:tcMar>
              <w:top w:type="dxa" w:w="120"/>
              <w:left w:type="dxa" w:w="160"/>
              <w:bottom w:type="dxa" w:w="120"/>
              <w:right w:type="dxa" w:w="160"/>
            </w:tcMar>
            <w:vAlign w:val="top"/>
          </w:tcPr>
          <w:p>
            <w:pPr>
              <w:spacing w:after="0" w:line="260"/>
            </w:pPr>
            <w:r>
              <w:rPr>
                <w:sz w:val="18"/>
                <w:szCs w:val="18"/>
              </w:rPr>
              <w:t xml:space="preserve">Displayed text distinct from the value.</w:t>
            </w:r>
          </w:p>
        </w:tc>
      </w:tr>
      <w:tr>
        <w:trPr>
          <w:cantSplit/>
        </w:trPr>
        <w:tc>
          <w:tcPr>
            <w:tcW w:type="dxa" w:w="18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alarm</w:t>
            </w:r>
          </w:p>
        </w:tc>
        <w:tc>
          <w:tcPr>
            <w:tcW w:type="dxa" w:w="7272"/>
            <w:shd w:fill="FAF9F6" w:color="auto" w:val="clear"/>
            <w:tcMar>
              <w:top w:type="dxa" w:w="120"/>
              <w:left w:type="dxa" w:w="160"/>
              <w:bottom w:type="dxa" w:w="120"/>
              <w:right w:type="dxa" w:w="160"/>
            </w:tcMar>
            <w:vAlign w:val="top"/>
          </w:tcPr>
          <w:p>
            <w:pPr>
              <w:spacing w:after="0" w:line="260"/>
            </w:pPr>
            <w:r>
              <w:rPr>
                <w:sz w:val="18"/>
                <w:szCs w:val="18"/>
              </w:rPr>
              <w:t xml:space="preserve">Annunciation of an alarm definition on the element.</w:t>
            </w:r>
          </w:p>
        </w:tc>
      </w:tr>
      <w:tr>
        <w:trPr>
          <w:cantSplit/>
        </w:trPr>
        <w:tc>
          <w:tcPr>
            <w:tcW w:type="dxa" w:w="18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enable</w:t>
            </w:r>
          </w:p>
        </w:tc>
        <w:tc>
          <w:tcPr>
            <w:tcW w:type="dxa" w:w="7272"/>
            <w:shd w:fill="FFFFFF" w:color="auto" w:val="clear"/>
            <w:tcMar>
              <w:top w:type="dxa" w:w="120"/>
              <w:left w:type="dxa" w:w="160"/>
              <w:bottom w:type="dxa" w:w="120"/>
              <w:right w:type="dxa" w:w="160"/>
            </w:tcMar>
            <w:vAlign w:val="top"/>
          </w:tcPr>
          <w:p>
            <w:pPr>
              <w:spacing w:after="0" w:line="260"/>
            </w:pPr>
            <w:r>
              <w:rPr>
                <w:sz w:val="18"/>
                <w:szCs w:val="18"/>
              </w:rPr>
              <w:t xml:space="preserve">Whether an interactive element accepts input.</w:t>
            </w:r>
          </w:p>
        </w:tc>
      </w:tr>
    </w:tbl>
    <w:p>
      <w:pPr>
        <w:pStyle w:val="BodyCopy"/>
      </w:pPr>
      <w:r>
        <w:t xml:space="preserve">A channel names an intent, never an appearance. </w:t>
      </w:r>
      <w:r>
        <w:rPr>
          <w:rFonts w:ascii="Consolas" w:cs="Consolas" w:eastAsia="Consolas" w:hAnsi="Consolas"/>
          <w:color w:val="1A1D21"/>
          <w:sz w:val="18"/>
          <w:szCs w:val="18"/>
          <w:shd w:fill="F2F1ED" w:color="auto" w:val="clear"/>
        </w:rPr>
        <w:t xml:space="preserve">fill</w:t>
      </w:r>
      <w:r>
        <w:t xml:space="preserve"> selects among named states; it does not carry </w:t>
      </w:r>
      <w:r>
        <w:rPr>
          <w:rFonts w:ascii="Consolas" w:cs="Consolas" w:eastAsia="Consolas" w:hAnsi="Consolas"/>
          <w:color w:val="1A1D21"/>
          <w:sz w:val="18"/>
          <w:szCs w:val="18"/>
          <w:shd w:fill="F2F1ED" w:color="auto" w:val="clear"/>
        </w:rPr>
        <w:t xml:space="preserve">#FF0000</w:t>
      </w:r>
      <w:r>
        <w:t xml:space="preserve">. This is what keeps the binding on the owner’s side of the boundary and the rendering on the vendor’s.</w:t>
      </w:r>
    </w:p>
    <w:p>
      <w:pPr>
        <w:pStyle w:val="Heading3"/>
      </w:pPr>
      <w:r>
        <w:rPr>
          <w:color w:val="8C6D46"/>
        </w:rPr>
        <w:t xml:space="preserve">13.6.2</w:t>
      </w:r>
      <w:r>
        <w:t xml:space="preserve">  </w:t>
      </w:r>
      <w:r>
        <w:t xml:space="preserve">Mapping</w:t>
      </w:r>
    </w:p>
    <w:p>
      <w:pPr>
        <w:pStyle w:val="BodyCopy"/>
      </w:pPr>
      <w:r>
        <w:t xml:space="preserve">A binding </w:t>
      </w:r>
      <w:r>
        <w:rPr>
          <w:b/>
          <w:bCs/>
          <w:color w:val="8C6D46"/>
        </w:rPr>
        <w:t xml:space="preserve">MAY</w:t>
      </w:r>
      <w:r>
        <w:t xml:space="preserve"> carry a </w:t>
      </w:r>
      <w:r>
        <w:rPr>
          <w:rFonts w:ascii="Consolas" w:cs="Consolas" w:eastAsia="Consolas" w:hAnsi="Consolas"/>
          <w:color w:val="1A1D21"/>
          <w:sz w:val="18"/>
          <w:szCs w:val="18"/>
          <w:shd w:fill="F2F1ED" w:color="auto" w:val="clear"/>
        </w:rPr>
        <w:t xml:space="preserve">mapping</w:t>
      </w:r>
      <w:r>
        <w:t xml:space="preserve"> translating source values into element states: discrete </w:t>
      </w:r>
      <w:r>
        <w:rPr>
          <w:rFonts w:ascii="Consolas" w:cs="Consolas" w:eastAsia="Consolas" w:hAnsi="Consolas"/>
          <w:color w:val="1A1D21"/>
          <w:sz w:val="18"/>
          <w:szCs w:val="18"/>
          <w:shd w:fill="F2F1ED" w:color="auto" w:val="clear"/>
        </w:rPr>
        <w:t xml:space="preserve">states</w:t>
      </w:r>
      <w:r>
        <w:t xml:space="preserve"> for enumerated targets, numeric </w:t>
      </w:r>
      <w:r>
        <w:rPr>
          <w:rFonts w:ascii="Consolas" w:cs="Consolas" w:eastAsia="Consolas" w:hAnsi="Consolas"/>
          <w:color w:val="1A1D21"/>
          <w:sz w:val="18"/>
          <w:szCs w:val="18"/>
          <w:shd w:fill="F2F1ED" w:color="auto" w:val="clear"/>
        </w:rPr>
        <w:t xml:space="preserve">ranges</w:t>
      </w:r>
      <w:r>
        <w:t xml:space="preserve">, and a </w:t>
      </w:r>
      <w:r>
        <w:rPr>
          <w:rFonts w:ascii="Consolas" w:cs="Consolas" w:eastAsia="Consolas" w:hAnsi="Consolas"/>
          <w:color w:val="1A1D21"/>
          <w:sz w:val="18"/>
          <w:szCs w:val="18"/>
          <w:shd w:fill="F2F1ED" w:color="auto" w:val="clear"/>
        </w:rPr>
        <w:t xml:space="preserve">scale</w:t>
      </w:r>
      <w:r>
        <w:t xml:space="preserve">, </w:t>
      </w:r>
      <w:r>
        <w:rPr>
          <w:rFonts w:ascii="Consolas" w:cs="Consolas" w:eastAsia="Consolas" w:hAnsi="Consolas"/>
          <w:color w:val="1A1D21"/>
          <w:sz w:val="18"/>
          <w:szCs w:val="18"/>
          <w:shd w:fill="F2F1ED" w:color="auto" w:val="clear"/>
        </w:rPr>
        <w:t xml:space="preserve">offset</w:t>
      </w:r>
      <w:r>
        <w:t xml:space="preserve">, </w:t>
      </w:r>
      <w:r>
        <w:rPr>
          <w:rFonts w:ascii="Consolas" w:cs="Consolas" w:eastAsia="Consolas" w:hAnsi="Consolas"/>
          <w:color w:val="1A1D21"/>
          <w:sz w:val="18"/>
          <w:szCs w:val="18"/>
          <w:shd w:fill="F2F1ED" w:color="auto" w:val="clear"/>
        </w:rPr>
        <w:t xml:space="preserve">format</w:t>
      </w:r>
      <w:r>
        <w:t xml:space="preserve">, and </w:t>
      </w:r>
      <w:r>
        <w:rPr>
          <w:rFonts w:ascii="Consolas" w:cs="Consolas" w:eastAsia="Consolas" w:hAnsi="Consolas"/>
          <w:color w:val="1A1D21"/>
          <w:sz w:val="18"/>
          <w:szCs w:val="18"/>
          <w:shd w:fill="F2F1ED" w:color="auto" w:val="clear"/>
        </w:rPr>
        <w:t xml:space="preserve">displayUnitCode</w:t>
      </w:r>
      <w:r>
        <w:t xml:space="preserve">. A </w:t>
      </w:r>
      <w:r>
        <w:rPr>
          <w:rFonts w:ascii="Consolas" w:cs="Consolas" w:eastAsia="Consolas" w:hAnsi="Consolas"/>
          <w:color w:val="1A1D21"/>
          <w:sz w:val="18"/>
          <w:szCs w:val="18"/>
          <w:shd w:fill="F2F1ED" w:color="auto" w:val="clear"/>
        </w:rPr>
        <w:t xml:space="preserve">displayUnitCode</w:t>
      </w:r>
      <w:r>
        <w:t xml:space="preserve"> is a code from the Annex C vocabulary, exactly as </w:t>
      </w:r>
      <w:r>
        <w:rPr>
          <w:rFonts w:ascii="Consolas" w:cs="Consolas" w:eastAsia="Consolas" w:hAnsi="Consolas"/>
          <w:color w:val="1A1D21"/>
          <w:sz w:val="18"/>
          <w:szCs w:val="18"/>
          <w:shd w:fill="F2F1ED" w:color="auto" w:val="clear"/>
        </w:rPr>
        <w:t xml:space="preserve">unitCode</w:t>
      </w:r>
      <w:r>
        <w:t xml:space="preserve"> is; a receiver formats the value, it does not invent a unit notation.</w:t>
      </w:r>
    </w:p>
    <w:tbl>
      <w:tblPr>
        <w:tblW w:type="dxa" w:w="9072"/>
        <w:tblBorders>
          <w:top w:val="none" w:color="FFFFFF" w:sz="0"/>
          <w:left w:val="single" w:color="D9D4C9" w:sz="12"/>
          <w:bottom w:val="none" w:color="FFFFFF" w:sz="0"/>
          <w:right w:val="none" w:color="FFFFFF" w:sz="0"/>
          <w:insideH w:val="none" w:color="FFFFFF" w:sz="0"/>
          <w:insideV w:val="none" w:color="FFFFFF" w:sz="0"/>
        </w:tblBorders>
        <w:tblLayout w:type="fixed"/>
      </w:tblPr>
      <w:tblGrid>
        <w:gridCol w:w="9072"/>
      </w:tblGrid>
      <w:tr>
        <w:trPr>
          <w:cantSplit w:val="false"/>
        </w:trPr>
        <w:tc>
          <w:tcPr>
            <w:tcW w:type="dxa" w:w="9072"/>
            <w:shd w:fill="F2F1ED" w:color="auto" w:val="clear"/>
            <w:tcMar>
              <w:top w:type="dxa" w:w="160"/>
              <w:left w:type="dxa" w:w="220"/>
              <w:bottom w:type="dxa" w:w="160"/>
              <w:right w:type="dxa" w:w="200"/>
            </w:tcMar>
          </w:tcPr>
          <w:p>
            <w:pPr>
              <w:spacing w:after="20" w:line="240"/>
            </w:pPr>
            <w:r>
              <w:rPr>
                <w:rFonts w:ascii="Consolas" w:cs="Consolas" w:eastAsia="Consolas" w:hAnsi="Consolas"/>
                <w:color w:val="1A1D21"/>
                <w:sz w:val="16"/>
                <w:szCs w:val="16"/>
              </w:rPr>
              <w:t xml:space="preserve">"mapping": { "ranges": [</w:t>
            </w:r>
          </w:p>
          <w:p>
            <w:pPr>
              <w:spacing w:after="20" w:line="240"/>
            </w:pPr>
            <w:r>
              <w:rPr>
                <w:rFonts w:ascii="Consolas" w:cs="Consolas" w:eastAsia="Consolas" w:hAnsi="Consolas"/>
                <w:color w:val="1A1D21"/>
                <w:sz w:val="16"/>
                <w:szCs w:val="16"/>
              </w:rPr>
              <w:t xml:space="preserve">  { "max": 20.0, "select": "cold", "label": "Below band" },</w:t>
            </w:r>
          </w:p>
          <w:p>
            <w:pPr>
              <w:spacing w:after="20" w:line="240"/>
            </w:pPr>
            <w:r>
              <w:rPr>
                <w:rFonts w:ascii="Consolas" w:cs="Consolas" w:eastAsia="Consolas" w:hAnsi="Consolas"/>
                <w:color w:val="1A1D21"/>
                <w:sz w:val="16"/>
                <w:szCs w:val="16"/>
              </w:rPr>
              <w:t xml:space="preserve">  { "min": 20.0, "max": 24.5, "select": "ok", "label": "In band" },</w:t>
            </w:r>
          </w:p>
          <w:p>
            <w:pPr>
              <w:spacing w:after="0" w:line="240"/>
            </w:pPr>
            <w:r>
              <w:rPr>
                <w:rFonts w:ascii="Consolas" w:cs="Consolas" w:eastAsia="Consolas" w:hAnsi="Consolas"/>
                <w:color w:val="1A1D21"/>
                <w:sz w:val="16"/>
                <w:szCs w:val="16"/>
              </w:rPr>
              <w:t xml:space="preserve">  { "min": 24.5, "select": "hot", "label": "Above band" } ] }</w:t>
            </w:r>
          </w:p>
        </w:tc>
      </w:tr>
    </w:tbl>
    <w:p>
      <w:pPr>
        <w:pStyle w:val="BodyCopy"/>
      </w:pPr>
      <w:r>
        <w:t xml:space="preserve">Where the target is an enumerated point, every </w:t>
      </w:r>
      <w:r>
        <w:rPr>
          <w:rFonts w:ascii="Consolas" w:cs="Consolas" w:eastAsia="Consolas" w:hAnsi="Consolas"/>
          <w:color w:val="1A1D21"/>
          <w:sz w:val="18"/>
          <w:szCs w:val="18"/>
          <w:shd w:fill="F2F1ED" w:color="auto" w:val="clear"/>
        </w:rPr>
        <w:t xml:space="preserve">when</w:t>
      </w:r>
      <w:r>
        <w:t xml:space="preserve"> value in a state mapping </w:t>
      </w:r>
      <w:r>
        <w:rPr>
          <w:b/>
          <w:bCs/>
          <w:color w:val="8C6D46"/>
        </w:rPr>
        <w:t xml:space="preserve">SHOULD</w:t>
      </w:r>
      <w:r>
        <w:t xml:space="preserve"> correspond to a member of the target’s enumeration. A mapping referring to a state the point cannot take is a modeling error and </w:t>
      </w:r>
      <w:r>
        <w:rPr>
          <w:b/>
          <w:bCs/>
          <w:color w:val="8C6D46"/>
        </w:rPr>
        <w:t xml:space="preserve">SHOULD</w:t>
      </w:r>
      <w:r>
        <w:t xml:space="preserve"> be reported by a validator.</w:t>
      </w:r>
    </w:p>
    <w:p>
      <w:pPr>
        <w:pStyle w:val="Heading3"/>
      </w:pPr>
      <w:r>
        <w:rPr>
          <w:color w:val="8C6D46"/>
        </w:rPr>
        <w:t xml:space="preserve">13.6.3</w:t>
      </w:r>
      <w:r>
        <w:t xml:space="preserve">  </w:t>
      </w:r>
      <w:r>
        <w:t xml:space="preserve">Quality behavior</w:t>
      </w:r>
    </w:p>
    <w:p>
      <w:pPr>
        <w:pStyle w:val="BodyCopy"/>
      </w:pPr>
      <w:r>
        <w:t xml:space="preserve">A binding </w:t>
      </w:r>
      <w:r>
        <w:rPr>
          <w:b/>
          <w:bCs/>
          <w:color w:val="8C6D46"/>
        </w:rPr>
        <w:t xml:space="preserve">SHOULD</w:t>
      </w:r>
      <w:r>
        <w:t xml:space="preserve"> declare what the element does when its value is stale, unavailable, or out of service: a </w:t>
      </w:r>
      <w:r>
        <w:rPr>
          <w:rFonts w:ascii="Consolas" w:cs="Consolas" w:eastAsia="Consolas" w:hAnsi="Consolas"/>
          <w:color w:val="1A1D21"/>
          <w:sz w:val="18"/>
          <w:szCs w:val="18"/>
          <w:shd w:fill="F2F1ED" w:color="auto" w:val="clear"/>
        </w:rPr>
        <w:t xml:space="preserve">staleAfter</w:t>
      </w:r>
      <w:r>
        <w:t xml:space="preserve"> interval and an action of indicate, gray, hide, hold, show a question mark, or show the last good value.</w:t>
      </w:r>
    </w:p>
    <w:tbl>
      <w:tblPr>
        <w:tblW w:type="dxa" w:w="9072"/>
        <w:tblBorders>
          <w:top w:val="none" w:color="FFFFFF" w:sz="0"/>
          <w:left w:val="single" w:color="8C6D46" w:sz="24"/>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F5F3EE" w:color="auto" w:val="clear"/>
            <w:tcMar>
              <w:top w:type="dxa" w:w="200"/>
              <w:left w:type="dxa" w:w="260"/>
              <w:bottom w:type="dxa" w:w="200"/>
              <w:right w:type="dxa" w:w="260"/>
            </w:tcMar>
          </w:tcPr>
          <w:p>
            <w:pPr>
              <w:spacing w:after="80"/>
            </w:pPr>
            <w:r>
              <w:rPr>
                <w:rFonts w:ascii="Georgia" w:cs="Georgia" w:eastAsia="Georgia" w:hAnsi="Georgia"/>
                <w:b/>
                <w:bCs/>
                <w:color w:val="1A1D21"/>
                <w:sz w:val="22"/>
                <w:szCs w:val="22"/>
              </w:rPr>
              <w:t xml:space="preserve">Requirement 13.6-1</w:t>
            </w:r>
          </w:p>
          <w:p>
            <w:pPr>
              <w:spacing w:after="0" w:line="280"/>
            </w:pPr>
            <w:r>
              <w:rPr>
                <w:sz w:val="20"/>
                <w:szCs w:val="20"/>
              </w:rPr>
              <w:t xml:space="preserve">Quality behavior is engineered behavior and </w:t>
            </w:r>
            <w:r>
              <w:rPr>
                <w:b/>
                <w:bCs/>
                <w:color w:val="8C6D46"/>
                <w:sz w:val="20"/>
                <w:szCs w:val="20"/>
              </w:rPr>
              <w:t xml:space="preserve">MUST</w:t>
            </w:r>
            <w:r>
              <w:rPr>
                <w:sz w:val="20"/>
                <w:szCs w:val="20"/>
              </w:rPr>
              <w:t xml:space="preserve"> be preserved (test RT-17). It is not styling and </w:t>
            </w:r>
            <w:r>
              <w:rPr>
                <w:b/>
                <w:bCs/>
                <w:color w:val="8C6D46"/>
                <w:sz w:val="20"/>
                <w:szCs w:val="20"/>
              </w:rPr>
              <w:t xml:space="preserve">MUST NOT</w:t>
            </w:r>
            <w:r>
              <w:rPr>
                <w:sz w:val="20"/>
                <w:szCs w:val="20"/>
              </w:rPr>
              <w:t xml:space="preserve"> be treated as vendor territory.</w:t>
            </w:r>
          </w:p>
        </w:tc>
      </w:tr>
    </w:tbl>
    <w:p>
      <w:pPr>
        <w:spacing w:after="120"/>
      </w:pPr>
      <w:r>
        <w:rPr>
          <w:sz w:val="2"/>
          <w:szCs w:val="2"/>
        </w:rPr>
        <w:t xml:space="preserve"/>
      </w:r>
    </w:p>
    <w:p>
      <w:pPr>
        <w:pStyle w:val="BodyCopy"/>
      </w:pPr>
      <w:r>
        <w:t xml:space="preserve">This is the field implementers are most likely to consider cosmetic and is not. A graphic that displays the last good value indefinitely, rather than graying out, tells an operator that a dead sensor is reading normally. That is a safety failure, and the decision about which behavior applies was made by an engineer who is unlikely to still be available.</w:t>
      </w:r>
    </w:p>
    <w:p>
      <w:pPr>
        <w:pStyle w:val="Heading2"/>
      </w:pPr>
      <w:r>
        <w:rPr>
          <w:color w:val="8C6D46"/>
        </w:rPr>
        <w:t xml:space="preserve">13.7</w:t>
      </w:r>
      <w:r>
        <w:t xml:space="preserve">  </w:t>
      </w:r>
      <w:r>
        <w:t xml:space="preserve">Actuation</w:t>
      </w:r>
    </w:p>
    <w:p>
      <w:pPr>
        <w:spacing w:after="160" w:before="0"/>
      </w:pPr>
      <w:r>
        <w:rPr>
          <w:rFonts w:ascii="Calibri" w:cs="Calibri" w:eastAsia="Calibri" w:hAnsi="Calibri"/>
          <w:b/>
          <w:bCs/>
          <w:color w:val="8C6D46"/>
          <w:spacing w:val="40"/>
          <w:sz w:val="14"/>
          <w:szCs w:val="14"/>
        </w:rPr>
        <w:t xml:space="preserve">AGREED</w:t>
      </w:r>
      <w:r>
        <w:t xml:space="preserve">   </w:t>
      </w:r>
      <w:r>
        <w:rPr>
          <w:i/>
          <w:iCs/>
          <w:color w:val="70757C"/>
          <w:sz w:val="17"/>
          <w:szCs w:val="17"/>
        </w:rPr>
        <w:t xml:space="preserve">Command actions travel. The consequence is a materially sharper security posture; see 19.2.</w:t>
      </w:r>
    </w:p>
    <w:p>
      <w:pPr>
        <w:pStyle w:val="BodyCopy"/>
      </w:pPr>
      <w:r>
        <w:t xml:space="preserve">A binding whose </w:t>
      </w:r>
      <w:r>
        <w:rPr>
          <w:rFonts w:ascii="Consolas" w:cs="Consolas" w:eastAsia="Consolas" w:hAnsi="Consolas"/>
          <w:color w:val="1A1D21"/>
          <w:sz w:val="18"/>
          <w:szCs w:val="18"/>
          <w:shd w:fill="F2F1ED" w:color="auto" w:val="clear"/>
        </w:rPr>
        <w:t xml:space="preserve">direction</w:t>
      </w:r>
      <w:r>
        <w:t xml:space="preserve"> is </w:t>
      </w:r>
      <w:r>
        <w:rPr>
          <w:rFonts w:ascii="Consolas" w:cs="Consolas" w:eastAsia="Consolas" w:hAnsi="Consolas"/>
          <w:color w:val="1A1D21"/>
          <w:sz w:val="18"/>
          <w:szCs w:val="18"/>
          <w:shd w:fill="F2F1ED" w:color="auto" w:val="clear"/>
        </w:rPr>
        <w:t xml:space="preserve">write</w:t>
      </w:r>
      <w:r>
        <w:t xml:space="preserve"> or </w:t>
      </w:r>
      <w:r>
        <w:rPr>
          <w:rFonts w:ascii="Consolas" w:cs="Consolas" w:eastAsia="Consolas" w:hAnsi="Consolas"/>
          <w:color w:val="1A1D21"/>
          <w:sz w:val="18"/>
          <w:szCs w:val="18"/>
          <w:shd w:fill="F2F1ED" w:color="auto" w:val="clear"/>
        </w:rPr>
        <w:t xml:space="preserve">readWrite</w:t>
      </w:r>
      <w:r>
        <w:t xml:space="preserve"> carries a </w:t>
      </w:r>
      <w:r>
        <w:rPr>
          <w:rFonts w:ascii="Consolas" w:cs="Consolas" w:eastAsia="Consolas" w:hAnsi="Consolas"/>
          <w:color w:val="1A1D21"/>
          <w:sz w:val="18"/>
          <w:szCs w:val="18"/>
          <w:shd w:fill="F2F1ED" w:color="auto" w:val="clear"/>
        </w:rPr>
        <w:t xml:space="preserve">write</w:t>
      </w:r>
      <w:r>
        <w:t xml:space="preserve"> block. The ability to act on plant from a graphic is engineered, owner-funded behavior and meets the boundary test; excluding it would mean every migration rebuilds the command layer by hand, which is the most safety-critical part to rebuild.</w:t>
      </w:r>
    </w:p>
    <w:tbl>
      <w:tblPr>
        <w:tblW w:type="dxa" w:w="9072"/>
        <w:tblBorders>
          <w:top w:val="none" w:color="FFFFFF" w:sz="0"/>
          <w:left w:val="single" w:color="D9D4C9" w:sz="12"/>
          <w:bottom w:val="none" w:color="FFFFFF" w:sz="0"/>
          <w:right w:val="none" w:color="FFFFFF" w:sz="0"/>
          <w:insideH w:val="none" w:color="FFFFFF" w:sz="0"/>
          <w:insideV w:val="none" w:color="FFFFFF" w:sz="0"/>
        </w:tblBorders>
        <w:tblLayout w:type="fixed"/>
      </w:tblPr>
      <w:tblGrid>
        <w:gridCol w:w="9072"/>
      </w:tblGrid>
      <w:tr>
        <w:trPr>
          <w:cantSplit w:val="false"/>
        </w:trPr>
        <w:tc>
          <w:tcPr>
            <w:tcW w:type="dxa" w:w="9072"/>
            <w:shd w:fill="F2F1ED" w:color="auto" w:val="clear"/>
            <w:tcMar>
              <w:top w:type="dxa" w:w="160"/>
              <w:left w:type="dxa" w:w="220"/>
              <w:bottom w:type="dxa" w:w="160"/>
              <w:right w:type="dxa" w:w="200"/>
            </w:tcMar>
          </w:tcPr>
          <w:p>
            <w:pPr>
              <w:spacing w:after="20" w:line="240"/>
            </w:pPr>
            <w:r>
              <w:rPr>
                <w:rFonts w:ascii="Consolas" w:cs="Consolas" w:eastAsia="Consolas" w:hAnsi="Consolas"/>
                <w:color w:val="1A1D21"/>
                <w:sz w:val="16"/>
                <w:szCs w:val="16"/>
              </w:rPr>
              <w:t xml:space="preserve">"direction": "readWrite",</w:t>
            </w:r>
          </w:p>
          <w:p>
            <w:pPr>
              <w:spacing w:after="20" w:line="240"/>
            </w:pPr>
            <w:r>
              <w:rPr>
                <w:rFonts w:ascii="Consolas" w:cs="Consolas" w:eastAsia="Consolas" w:hAnsi="Consolas"/>
                <w:color w:val="1A1D21"/>
                <w:sz w:val="16"/>
                <w:szCs w:val="16"/>
              </w:rPr>
              <w:t xml:space="preserve">"write": {</w:t>
            </w:r>
          </w:p>
          <w:p>
            <w:pPr>
              <w:spacing w:after="20" w:line="240"/>
            </w:pPr>
            <w:r>
              <w:rPr>
                <w:rFonts w:ascii="Consolas" w:cs="Consolas" w:eastAsia="Consolas" w:hAnsi="Consolas"/>
                <w:color w:val="1A1D21"/>
                <w:sz w:val="16"/>
                <w:szCs w:val="16"/>
              </w:rPr>
              <w:t xml:space="preserve">  "priority": 10,</w:t>
            </w:r>
          </w:p>
          <w:p>
            <w:pPr>
              <w:spacing w:after="20" w:line="240"/>
            </w:pPr>
            <w:r>
              <w:rPr>
                <w:rFonts w:ascii="Consolas" w:cs="Consolas" w:eastAsia="Consolas" w:hAnsi="Consolas"/>
                <w:color w:val="1A1D21"/>
                <w:sz w:val="16"/>
                <w:szCs w:val="16"/>
              </w:rPr>
              <w:t xml:space="preserve">  "requiresConfirmation": true,</w:t>
            </w:r>
          </w:p>
          <w:p>
            <w:pPr>
              <w:spacing w:after="20" w:line="240"/>
            </w:pPr>
            <w:r>
              <w:rPr>
                <w:rFonts w:ascii="Consolas" w:cs="Consolas" w:eastAsia="Consolas" w:hAnsi="Consolas"/>
                <w:color w:val="1A1D21"/>
                <w:sz w:val="16"/>
                <w:szCs w:val="16"/>
              </w:rPr>
              <w:t xml:space="preserve">  "confirmationText": "Change the AHU-1 supply air temperature setpoint?",</w:t>
            </w:r>
          </w:p>
          <w:p>
            <w:pPr>
              <w:spacing w:after="20" w:line="240"/>
            </w:pPr>
            <w:r>
              <w:rPr>
                <w:rFonts w:ascii="Consolas" w:cs="Consolas" w:eastAsia="Consolas" w:hAnsi="Consolas"/>
                <w:color w:val="1A1D21"/>
                <w:sz w:val="16"/>
                <w:szCs w:val="16"/>
              </w:rPr>
              <w:t xml:space="preserve">  "constraintRef": "urn:uuid:...203",       // the safety low limit</w:t>
            </w:r>
          </w:p>
          <w:p>
            <w:pPr>
              <w:spacing w:after="20" w:line="240"/>
            </w:pPr>
            <w:r>
              <w:rPr>
                <w:rFonts w:ascii="Consolas" w:cs="Consolas" w:eastAsia="Consolas" w:hAnsi="Consolas"/>
                <w:color w:val="1A1D21"/>
                <w:sz w:val="16"/>
                <w:szCs w:val="16"/>
              </w:rPr>
              <w:t xml:space="preserve">  "releaseOnExit": false</w:t>
            </w:r>
          </w:p>
          <w:p>
            <w:pPr>
              <w:spacing w:after="0" w:line="240"/>
            </w:pPr>
            <w:r>
              <w:rPr>
                <w:rFonts w:ascii="Consolas" w:cs="Consolas" w:eastAsia="Consolas" w:hAnsi="Consolas"/>
                <w:color w:val="1A1D21"/>
                <w:sz w:val="16"/>
                <w:szCs w:val="16"/>
              </w:rPr>
              <w:t xml:space="preserve">}</w:t>
            </w:r>
          </w:p>
        </w:tc>
      </w:tr>
    </w:tbl>
    <w:p>
      <w:pPr>
        <w:pStyle w:val="Heading3"/>
      </w:pPr>
      <w:r>
        <w:rPr>
          <w:color w:val="8C6D46"/>
        </w:rPr>
        <w:t xml:space="preserve">13.7.1</w:t>
      </w:r>
      <w:r>
        <w:t xml:space="preserve">  </w:t>
      </w:r>
      <w:r>
        <w:t xml:space="preserve">Priority</w:t>
      </w:r>
    </w:p>
    <w:tbl>
      <w:tblPr>
        <w:tblW w:type="dxa" w:w="9072"/>
        <w:tblBorders>
          <w:top w:val="none" w:color="FFFFFF" w:sz="0"/>
          <w:left w:val="single" w:color="8C6D46" w:sz="24"/>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F5F3EE" w:color="auto" w:val="clear"/>
            <w:tcMar>
              <w:top w:type="dxa" w:w="200"/>
              <w:left w:type="dxa" w:w="260"/>
              <w:bottom w:type="dxa" w:w="200"/>
              <w:right w:type="dxa" w:w="260"/>
            </w:tcMar>
          </w:tcPr>
          <w:p>
            <w:pPr>
              <w:spacing w:after="80"/>
            </w:pPr>
            <w:r>
              <w:rPr>
                <w:rFonts w:ascii="Georgia" w:cs="Georgia" w:eastAsia="Georgia" w:hAnsi="Georgia"/>
                <w:b/>
                <w:bCs/>
                <w:color w:val="1A1D21"/>
                <w:sz w:val="22"/>
                <w:szCs w:val="22"/>
              </w:rPr>
              <w:t xml:space="preserve">Requirement 13.7-1</w:t>
            </w:r>
          </w:p>
          <w:p>
            <w:pPr>
              <w:spacing w:after="0" w:line="280"/>
            </w:pPr>
            <w:r>
              <w:rPr>
                <w:sz w:val="20"/>
                <w:szCs w:val="20"/>
              </w:rPr>
              <w:t xml:space="preserve">A write binding </w:t>
            </w:r>
            <w:r>
              <w:rPr>
                <w:b/>
                <w:bCs/>
                <w:color w:val="8C6D46"/>
                <w:sz w:val="20"/>
                <w:szCs w:val="20"/>
              </w:rPr>
              <w:t xml:space="preserve">MUST</w:t>
            </w:r>
            <w:r>
              <w:rPr>
                <w:sz w:val="20"/>
                <w:szCs w:val="20"/>
              </w:rPr>
              <w:t xml:space="preserve"> declare the command priority at which it writes, preserved verbatim from the source system. A receiving system that cannot honor the source priority model </w:t>
            </w:r>
            <w:r>
              <w:rPr>
                <w:b/>
                <w:bCs/>
                <w:color w:val="8C6D46"/>
                <w:sz w:val="20"/>
                <w:szCs w:val="20"/>
              </w:rPr>
              <w:t xml:space="preserve">MUST</w:t>
            </w:r>
            <w:r>
              <w:rPr>
                <w:sz w:val="20"/>
                <w:szCs w:val="20"/>
              </w:rPr>
              <w:t xml:space="preserve"> report the binding as unenforced rather than substituting its own priority (tests RT-16 and IM-7).</w:t>
            </w:r>
          </w:p>
        </w:tc>
      </w:tr>
    </w:tbl>
    <w:p>
      <w:pPr>
        <w:spacing w:after="120"/>
      </w:pPr>
      <w:r>
        <w:rPr>
          <w:sz w:val="2"/>
          <w:szCs w:val="2"/>
        </w:rPr>
        <w:t xml:space="preserve"/>
      </w:r>
    </w:p>
    <w:p>
      <w:pPr>
        <w:pStyle w:val="BodyCopy"/>
      </w:pPr>
      <w:r>
        <w:t xml:space="preserve">If a source binding writes at priority 8 and a receiver writes at priority 16, the graphic looks identical and the plant behaves differently. Nobody discovers this until an override fails to hold, typically during an incident. This is the presentation-layer analog of the unit-conversion rule of 7.4.</w:t>
      </w:r>
    </w:p>
    <w:p>
      <w:pPr>
        <w:pStyle w:val="BodyCopy"/>
      </w:pPr>
      <w:r>
        <w:t xml:space="preserve">A declared priority </w:t>
      </w:r>
      <w:r>
        <w:rPr>
          <w:b/>
          <w:bCs/>
          <w:color w:val="8C6D46"/>
        </w:rPr>
        <w:t xml:space="preserve">MUST</w:t>
      </w:r>
      <w:r>
        <w:t xml:space="preserve"> be within the target point’s declared priority model where one exists (test PK-16).</w:t>
      </w:r>
    </w:p>
    <w:p>
      <w:pPr>
        <w:pStyle w:val="Heading3"/>
      </w:pPr>
      <w:r>
        <w:rPr>
          <w:color w:val="8C6D46"/>
        </w:rPr>
        <w:t xml:space="preserve">13.7.2</w:t>
      </w:r>
      <w:r>
        <w:t xml:space="preserve">  </w:t>
      </w:r>
      <w:r>
        <w:t xml:space="preserve">Limits and interlocks</w:t>
      </w:r>
    </w:p>
    <w:p>
      <w:pPr>
        <w:pStyle w:val="BodyCopy"/>
      </w:pPr>
      <w:r>
        <w:t xml:space="preserve">A write binding that restricts the permitted value range </w:t>
      </w:r>
      <w:r>
        <w:rPr>
          <w:b/>
          <w:bCs/>
          <w:color w:val="8C6D46"/>
        </w:rPr>
        <w:t xml:space="preserve">MUST</w:t>
      </w:r>
      <w:r>
        <w:t xml:space="preserve"> reference a </w:t>
      </w:r>
      <w:r>
        <w:rPr>
          <w:rFonts w:ascii="Consolas" w:cs="Consolas" w:eastAsia="Consolas" w:hAnsi="Consolas"/>
          <w:color w:val="1A1D21"/>
          <w:sz w:val="18"/>
          <w:szCs w:val="18"/>
          <w:shd w:fill="F2F1ED" w:color="auto" w:val="clear"/>
        </w:rPr>
        <w:t xml:space="preserve">bus:Constraint</w:t>
      </w:r>
      <w:r>
        <w:t xml:space="preserve"> through </w:t>
      </w:r>
      <w:r>
        <w:rPr>
          <w:rFonts w:ascii="Consolas" w:cs="Consolas" w:eastAsia="Consolas" w:hAnsi="Consolas"/>
          <w:color w:val="1A1D21"/>
          <w:sz w:val="18"/>
          <w:szCs w:val="18"/>
          <w:shd w:fill="F2F1ED" w:color="auto" w:val="clear"/>
        </w:rPr>
        <w:t xml:space="preserve">constraintRef</w:t>
      </w:r>
      <w:r>
        <w:t xml:space="preserve"> rather than carrying its own minimum and maximum. Two places to state the same limit guarantees they diverge, and the graphic is the copy that gets edited without the model being updated.</w:t>
      </w:r>
    </w:p>
    <w:p>
      <w:pPr>
        <w:pStyle w:val="BodyCopy"/>
      </w:pPr>
      <w:r>
        <w:t xml:space="preserve">An </w:t>
      </w:r>
      <w:r>
        <w:rPr>
          <w:rFonts w:ascii="Consolas" w:cs="Consolas" w:eastAsia="Consolas" w:hAnsi="Consolas"/>
          <w:color w:val="1A1D21"/>
          <w:sz w:val="18"/>
          <w:szCs w:val="18"/>
          <w:shd w:fill="F2F1ED" w:color="auto" w:val="clear"/>
        </w:rPr>
        <w:t xml:space="preserve">interlockRef</w:t>
      </w:r>
      <w:r>
        <w:t xml:space="preserve"> names a constraint that must hold before the write is permitted — a fan that may not start while a fire alarm is active, for instance. Interlocks that the receiver cannot enforce </w:t>
      </w:r>
      <w:r>
        <w:rPr>
          <w:b/>
          <w:bCs/>
          <w:color w:val="8C6D46"/>
        </w:rPr>
        <w:t xml:space="preserve">MUST</w:t>
      </w:r>
      <w:r>
        <w:t xml:space="preserve"> be reported, not assumed satisfied (10.4).</w:t>
      </w:r>
    </w:p>
    <w:p>
      <w:pPr>
        <w:pStyle w:val="Heading3"/>
      </w:pPr>
      <w:r>
        <w:rPr>
          <w:color w:val="8C6D46"/>
        </w:rPr>
        <w:t xml:space="preserve">13.7.3</w:t>
      </w:r>
      <w:r>
        <w:t xml:space="preserve">  </w:t>
      </w:r>
      <w:r>
        <w:t xml:space="preserve">Confirmation</w:t>
      </w:r>
    </w:p>
    <w:p>
      <w:pPr>
        <w:pStyle w:val="BodyCopy"/>
      </w:pPr>
      <w:r>
        <w:rPr>
          <w:rFonts w:ascii="Consolas" w:cs="Consolas" w:eastAsia="Consolas" w:hAnsi="Consolas"/>
          <w:color w:val="1A1D21"/>
          <w:sz w:val="18"/>
          <w:szCs w:val="18"/>
          <w:shd w:fill="F2F1ED" w:color="auto" w:val="clear"/>
        </w:rPr>
        <w:t xml:space="preserve">requiresConfirmation</w:t>
      </w:r>
      <w:r>
        <w:t xml:space="preserve"> records that an operator must confirm before the write is issued. The requirement travels; the design of the confirmation dialog does not. The same boundary test that gives the vendor the dialog gives the owner the requirement, because the decision that this particular action needs a second thought was an operator-safety judgment.</w:t>
      </w:r>
    </w:p>
    <w:p>
      <w:pPr>
        <w:pStyle w:val="Heading2"/>
      </w:pPr>
      <w:r>
        <w:rPr>
          <w:color w:val="8C6D46"/>
        </w:rPr>
        <w:t xml:space="preserve">13.8</w:t>
      </w:r>
      <w:r>
        <w:t xml:space="preserve">  </w:t>
      </w:r>
      <w:r>
        <w:t xml:space="preserve">Navigation</w:t>
      </w:r>
    </w:p>
    <w:p>
      <w:pPr>
        <w:pStyle w:val="BodyCopy"/>
      </w:pPr>
      <w:r>
        <w:t xml:space="preserve">An element </w:t>
      </w:r>
      <w:r>
        <w:rPr>
          <w:b/>
          <w:bCs/>
          <w:color w:val="8C6D46"/>
        </w:rPr>
        <w:t xml:space="preserve">MAY</w:t>
      </w:r>
      <w:r>
        <w:t xml:space="preserve"> carry </w:t>
      </w:r>
      <w:r>
        <w:rPr>
          <w:rFonts w:ascii="Consolas" w:cs="Consolas" w:eastAsia="Consolas" w:hAnsi="Consolas"/>
          <w:color w:val="1A1D21"/>
          <w:sz w:val="18"/>
          <w:szCs w:val="18"/>
          <w:shd w:fill="F2F1ED" w:color="auto" w:val="clear"/>
        </w:rPr>
        <w:t xml:space="preserve">navigatesTo</w:t>
      </w:r>
      <w:r>
        <w:t xml:space="preserve"> naming another drawing. This preserves the structure by which an operator moves from a floor plan to an equipment graphic — which is engineered information architecture, not menu design.</w:t>
      </w:r>
    </w:p>
    <w:p>
      <w:pPr>
        <w:pStyle w:val="BodyCopy"/>
      </w:pPr>
      <w:r>
        <w:t xml:space="preserve">How navigation is presented, whether as a click, a hover, a breadcrumb, or a search result, is entirely the receiving vendor’s.</w:t>
      </w:r>
    </w:p>
    <w:p>
      <w:pPr>
        <w:pStyle w:val="Heading2"/>
      </w:pPr>
      <w:r>
        <w:rPr>
          <w:color w:val="8C6D46"/>
        </w:rPr>
        <w:t xml:space="preserve">13.9</w:t>
      </w:r>
      <w:r>
        <w:t xml:space="preserve">  </w:t>
      </w:r>
      <w:r>
        <w:t xml:space="preserve">What presentation does not carry</w:t>
      </w:r>
    </w:p>
    <w:p>
      <w:pPr>
        <w:pStyle w:val="BodyCopy"/>
      </w:pPr>
      <w:r>
        <w:t xml:space="preserve">For the avoidance of doubt, nothing in this clause constrains, and no conforming package carries:</w:t>
      </w:r>
    </w:p>
    <w:p>
      <w:pPr>
        <w:pStyle w:val="BulletCopy"/>
        <w:numPr>
          <w:ilvl w:val="0"/>
          <w:numId w:val="2"/>
        </w:numPr>
      </w:pPr>
      <w:r>
        <w:t xml:space="preserve">Colors, gradients, shadows, textures, or any other appearance value.</w:t>
      </w:r>
    </w:p>
    <w:p>
      <w:pPr>
        <w:pStyle w:val="BulletCopy"/>
        <w:numPr>
          <w:ilvl w:val="0"/>
          <w:numId w:val="2"/>
        </w:numPr>
      </w:pPr>
      <w:r>
        <w:t xml:space="preserve">Symbol artwork, except in figure mode where the owner funded the artwork itself.</w:t>
      </w:r>
    </w:p>
    <w:p>
      <w:pPr>
        <w:pStyle w:val="BulletCopy"/>
        <w:numPr>
          <w:ilvl w:val="0"/>
          <w:numId w:val="2"/>
        </w:numPr>
      </w:pPr>
      <w:r>
        <w:t xml:space="preserve">Animation curves, easing, timing, or transitions.</w:t>
      </w:r>
    </w:p>
    <w:p>
      <w:pPr>
        <w:pStyle w:val="BulletCopy"/>
        <w:numPr>
          <w:ilvl w:val="0"/>
          <w:numId w:val="2"/>
        </w:numPr>
      </w:pPr>
      <w:r>
        <w:t xml:space="preserve">Fonts, type sizes, or text styling.</w:t>
      </w:r>
    </w:p>
    <w:p>
      <w:pPr>
        <w:pStyle w:val="BulletCopy"/>
        <w:numPr>
          <w:ilvl w:val="0"/>
          <w:numId w:val="2"/>
        </w:numPr>
      </w:pPr>
      <w:r>
        <w:t xml:space="preserve">Hover, focus, selection, or gesture behavior.</w:t>
      </w:r>
    </w:p>
    <w:p>
      <w:pPr>
        <w:pStyle w:val="BulletCopy"/>
        <w:numPr>
          <w:ilvl w:val="0"/>
          <w:numId w:val="2"/>
        </w:numPr>
      </w:pPr>
      <w:r>
        <w:t xml:space="preserve">Responsive breakpoints, layout adaptation, or device-specific presentation.</w:t>
      </w:r>
    </w:p>
    <w:p>
      <w:pPr>
        <w:pStyle w:val="BulletCopy"/>
        <w:numPr>
          <w:ilvl w:val="0"/>
          <w:numId w:val="2"/>
        </w:numPr>
      </w:pPr>
      <w:r>
        <w:t xml:space="preserve">Menu structure, search, personalization, or role-based presentation.</w:t>
      </w:r>
    </w:p>
    <w:p>
      <w:pPr>
        <w:pStyle w:val="BodyCopy"/>
      </w:pPr>
      <w:r>
        <w:t xml:space="preserve">A receiving system that renders a package in an entirely different visual idiom, with different symbols, different colors, and different interaction, is fully conforming. That is the intended outcome, not a tolerated one.</w:t>
      </w:r>
    </w:p>
    <w:p>
      <w:pPr>
        <w:pStyle w:val="Heading1"/>
      </w:pPr>
      <w:r>
        <w:rPr>
          <w:rFonts w:ascii="Georgia" w:cs="Georgia" w:eastAsia="Georgia" w:hAnsi="Georgia"/>
          <w:color w:val="8C6D46"/>
        </w:rPr>
        <w:t xml:space="preserve">14</w:t>
      </w:r>
      <w:r>
        <w:t xml:space="preserve">  </w:t>
      </w:r>
      <w:r>
        <w:t xml:space="preserve">Provenance and governance</w:t>
      </w:r>
    </w:p>
    <w:p>
      <w:pPr>
        <w:spacing w:after="160" w:before="0"/>
      </w:pPr>
      <w:r>
        <w:rPr>
          <w:rFonts w:ascii="Calibri" w:cs="Calibri" w:eastAsia="Calibri" w:hAnsi="Calibri"/>
          <w:b/>
          <w:bCs/>
          <w:color w:val="8C6D46"/>
          <w:spacing w:val="40"/>
          <w:sz w:val="14"/>
          <w:szCs w:val="14"/>
        </w:rPr>
        <w:t xml:space="preserve">AGREED</w:t>
      </w:r>
    </w:p>
    <w:p>
      <w:pPr>
        <w:pStyle w:val="Heading2"/>
      </w:pPr>
      <w:r>
        <w:rPr>
          <w:color w:val="8C6D46"/>
        </w:rPr>
        <w:t xml:space="preserve">14.1</w:t>
      </w:r>
      <w:r>
        <w:t xml:space="preserve">  </w:t>
      </w:r>
      <w:r>
        <w:t xml:space="preserve">The provenance block</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2000"/>
        <w:gridCol w:w="7072"/>
      </w:tblGrid>
      <w:tr>
        <w:trPr>
          <w:cantSplit/>
          <w:tblHeader/>
        </w:trPr>
        <w:tc>
          <w:tcPr>
            <w:tcW w:type="dxa" w:w="20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Field</w:t>
            </w:r>
          </w:p>
        </w:tc>
        <w:tc>
          <w:tcPr>
            <w:tcW w:type="dxa" w:w="70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Requirement</w:t>
            </w:r>
          </w:p>
        </w:tc>
      </w:tr>
      <w:tr>
        <w:trPr>
          <w:cantSplit/>
        </w:trPr>
        <w:tc>
          <w:tcPr>
            <w:tcW w:type="dxa" w:w="20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assertedBy</w:t>
            </w:r>
          </w:p>
        </w:tc>
        <w:tc>
          <w:tcPr>
            <w:tcW w:type="dxa" w:w="7072"/>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REQUIRED</w:t>
            </w:r>
            <w:r>
              <w:rPr>
                <w:sz w:val="18"/>
                <w:szCs w:val="18"/>
              </w:rPr>
              <w:t xml:space="preserve">. An agent with a kind of person, organization, system, or device, and a </w:t>
            </w:r>
            <w:r>
              <w:rPr>
                <w:rFonts w:ascii="Consolas" w:cs="Consolas" w:eastAsia="Consolas" w:hAnsi="Consolas"/>
                <w:color w:val="1A1D21"/>
                <w:sz w:val="15"/>
                <w:szCs w:val="15"/>
                <w:shd w:fill="F2F1ED" w:color="auto" w:val="clear"/>
              </w:rPr>
              <w:t xml:space="preserve">partyRef</w:t>
            </w:r>
            <w:r>
              <w:rPr>
                <w:sz w:val="18"/>
                <w:szCs w:val="18"/>
              </w:rPr>
              <w:t xml:space="preserve"> where the party is addressable.</w:t>
            </w:r>
          </w:p>
        </w:tc>
      </w:tr>
      <w:tr>
        <w:trPr>
          <w:cantSplit/>
        </w:trPr>
        <w:tc>
          <w:tcPr>
            <w:tcW w:type="dxa" w:w="20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assertedAt</w:t>
            </w:r>
          </w:p>
        </w:tc>
        <w:tc>
          <w:tcPr>
            <w:tcW w:type="dxa" w:w="7072"/>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REQUIRED</w:t>
            </w:r>
            <w:r>
              <w:rPr>
                <w:sz w:val="18"/>
                <w:szCs w:val="18"/>
              </w:rPr>
              <w:t xml:space="preserve">. Timestamp per 7.3.</w:t>
            </w:r>
          </w:p>
        </w:tc>
      </w:tr>
      <w:tr>
        <w:trPr>
          <w:cantSplit/>
        </w:trPr>
        <w:tc>
          <w:tcPr>
            <w:tcW w:type="dxa" w:w="20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method</w:t>
            </w:r>
          </w:p>
        </w:tc>
        <w:tc>
          <w:tcPr>
            <w:tcW w:type="dxa" w:w="7072"/>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REQUIRED</w:t>
            </w:r>
            <w:r>
              <w:rPr>
                <w:sz w:val="18"/>
                <w:szCs w:val="18"/>
              </w:rPr>
              <w:t xml:space="preserve">. </w:t>
            </w:r>
            <w:r>
              <w:rPr>
                <w:rFonts w:ascii="Consolas" w:cs="Consolas" w:eastAsia="Consolas" w:hAnsi="Consolas"/>
                <w:color w:val="1A1D21"/>
                <w:sz w:val="15"/>
                <w:szCs w:val="15"/>
                <w:shd w:fill="F2F1ED" w:color="auto" w:val="clear"/>
              </w:rPr>
              <w:t xml:space="preserve">measured</w:t>
            </w:r>
            <w:r>
              <w:rPr>
                <w:sz w:val="18"/>
                <w:szCs w:val="18"/>
              </w:rPr>
              <w:t xml:space="preserve">, </w:t>
            </w:r>
            <w:r>
              <w:rPr>
                <w:rFonts w:ascii="Consolas" w:cs="Consolas" w:eastAsia="Consolas" w:hAnsi="Consolas"/>
                <w:color w:val="1A1D21"/>
                <w:sz w:val="15"/>
                <w:szCs w:val="15"/>
                <w:shd w:fill="F2F1ED" w:color="auto" w:val="clear"/>
              </w:rPr>
              <w:t xml:space="preserve">manual</w:t>
            </w:r>
            <w:r>
              <w:rPr>
                <w:sz w:val="18"/>
                <w:szCs w:val="18"/>
              </w:rPr>
              <w:t xml:space="preserve">, </w:t>
            </w:r>
            <w:r>
              <w:rPr>
                <w:rFonts w:ascii="Consolas" w:cs="Consolas" w:eastAsia="Consolas" w:hAnsi="Consolas"/>
                <w:color w:val="1A1D21"/>
                <w:sz w:val="15"/>
                <w:szCs w:val="15"/>
                <w:shd w:fill="F2F1ED" w:color="auto" w:val="clear"/>
              </w:rPr>
              <w:t xml:space="preserve">commissioned</w:t>
            </w:r>
            <w:r>
              <w:rPr>
                <w:sz w:val="18"/>
                <w:szCs w:val="18"/>
              </w:rPr>
              <w:t xml:space="preserve">, </w:t>
            </w:r>
            <w:r>
              <w:rPr>
                <w:rFonts w:ascii="Consolas" w:cs="Consolas" w:eastAsia="Consolas" w:hAnsi="Consolas"/>
                <w:color w:val="1A1D21"/>
                <w:sz w:val="15"/>
                <w:szCs w:val="15"/>
                <w:shd w:fill="F2F1ED" w:color="auto" w:val="clear"/>
              </w:rPr>
              <w:t xml:space="preserve">imported</w:t>
            </w:r>
            <w:r>
              <w:rPr>
                <w:sz w:val="18"/>
                <w:szCs w:val="18"/>
              </w:rPr>
              <w:t xml:space="preserve">, </w:t>
            </w:r>
            <w:r>
              <w:rPr>
                <w:rFonts w:ascii="Consolas" w:cs="Consolas" w:eastAsia="Consolas" w:hAnsi="Consolas"/>
                <w:color w:val="1A1D21"/>
                <w:sz w:val="15"/>
                <w:szCs w:val="15"/>
                <w:shd w:fill="F2F1ED" w:color="auto" w:val="clear"/>
              </w:rPr>
              <w:t xml:space="preserve">derived</w:t>
            </w:r>
            <w:r>
              <w:rPr>
                <w:sz w:val="18"/>
                <w:szCs w:val="18"/>
              </w:rPr>
              <w:t xml:space="preserve">, </w:t>
            </w:r>
            <w:r>
              <w:rPr>
                <w:rFonts w:ascii="Consolas" w:cs="Consolas" w:eastAsia="Consolas" w:hAnsi="Consolas"/>
                <w:color w:val="1A1D21"/>
                <w:sz w:val="15"/>
                <w:szCs w:val="15"/>
                <w:shd w:fill="F2F1ED" w:color="auto" w:val="clear"/>
              </w:rPr>
              <w:t xml:space="preserve">inferred</w:t>
            </w:r>
            <w:r>
              <w:rPr>
                <w:sz w:val="18"/>
                <w:szCs w:val="18"/>
              </w:rPr>
              <w:t xml:space="preserve">, </w:t>
            </w:r>
            <w:r>
              <w:rPr>
                <w:rFonts w:ascii="Consolas" w:cs="Consolas" w:eastAsia="Consolas" w:hAnsi="Consolas"/>
                <w:color w:val="1A1D21"/>
                <w:sz w:val="15"/>
                <w:szCs w:val="15"/>
                <w:shd w:fill="F2F1ED" w:color="auto" w:val="clear"/>
              </w:rPr>
              <w:t xml:space="preserve">asserted</w:t>
            </w:r>
            <w:r>
              <w:rPr>
                <w:sz w:val="18"/>
                <w:szCs w:val="18"/>
              </w:rPr>
              <w:t xml:space="preserve">, </w:t>
            </w:r>
            <w:r>
              <w:rPr>
                <w:rFonts w:ascii="Consolas" w:cs="Consolas" w:eastAsia="Consolas" w:hAnsi="Consolas"/>
                <w:color w:val="1A1D21"/>
                <w:sz w:val="15"/>
                <w:szCs w:val="15"/>
                <w:shd w:fill="F2F1ED" w:color="auto" w:val="clear"/>
              </w:rPr>
              <w:t xml:space="preserve">surveyed</w:t>
            </w:r>
            <w:r>
              <w:rPr>
                <w:sz w:val="18"/>
                <w:szCs w:val="18"/>
              </w:rPr>
              <w:t xml:space="preserve">, or </w:t>
            </w:r>
            <w:r>
              <w:rPr>
                <w:rFonts w:ascii="Consolas" w:cs="Consolas" w:eastAsia="Consolas" w:hAnsi="Consolas"/>
                <w:color w:val="1A1D21"/>
                <w:sz w:val="15"/>
                <w:szCs w:val="15"/>
                <w:shd w:fill="F2F1ED" w:color="auto" w:val="clear"/>
              </w:rPr>
              <w:t xml:space="preserve">unknown</w:t>
            </w:r>
            <w:r>
              <w:rPr>
                <w:sz w:val="18"/>
                <w:szCs w:val="18"/>
              </w:rPr>
              <w:t xml:space="preserve">.</w:t>
            </w:r>
          </w:p>
        </w:tc>
      </w:tr>
      <w:tr>
        <w:trPr>
          <w:cantSplit/>
        </w:trPr>
        <w:tc>
          <w:tcPr>
            <w:tcW w:type="dxa" w:w="20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source</w:t>
            </w:r>
          </w:p>
        </w:tc>
        <w:tc>
          <w:tcPr>
            <w:tcW w:type="dxa" w:w="7072"/>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RECOMMENDED</w:t>
            </w:r>
            <w:r>
              <w:rPr>
                <w:sz w:val="18"/>
                <w:szCs w:val="18"/>
              </w:rPr>
              <w:t xml:space="preserve">. A document, system, person, survey, device, drawing, or prior package.</w:t>
            </w:r>
          </w:p>
        </w:tc>
      </w:tr>
      <w:tr>
        <w:trPr>
          <w:cantSplit/>
        </w:trPr>
        <w:tc>
          <w:tcPr>
            <w:tcW w:type="dxa" w:w="20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confidence</w:t>
            </w:r>
          </w:p>
        </w:tc>
        <w:tc>
          <w:tcPr>
            <w:tcW w:type="dxa" w:w="7072"/>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OPTIONAL</w:t>
            </w:r>
            <w:r>
              <w:rPr>
                <w:sz w:val="18"/>
                <w:szCs w:val="18"/>
              </w:rPr>
              <w:t xml:space="preserve">. 0 to 1. Absence means unstated, NOT certain.</w:t>
            </w:r>
          </w:p>
        </w:tc>
      </w:tr>
      <w:tr>
        <w:trPr>
          <w:cantSplit/>
        </w:trPr>
        <w:tc>
          <w:tcPr>
            <w:tcW w:type="dxa" w:w="20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approvals</w:t>
            </w:r>
          </w:p>
        </w:tc>
        <w:tc>
          <w:tcPr>
            <w:tcW w:type="dxa" w:w="7072"/>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OPTIONAL</w:t>
            </w:r>
            <w:r>
              <w:rPr>
                <w:sz w:val="18"/>
                <w:szCs w:val="18"/>
              </w:rPr>
              <w:t xml:space="preserve">. Who signed off, when, in what role.</w:t>
            </w:r>
          </w:p>
        </w:tc>
      </w:tr>
      <w:tr>
        <w:trPr>
          <w:cantSplit/>
        </w:trPr>
        <w:tc>
          <w:tcPr>
            <w:tcW w:type="dxa" w:w="20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changeReason</w:t>
            </w:r>
            <w:r>
              <w:rPr>
                <w:sz w:val="18"/>
                <w:szCs w:val="18"/>
              </w:rPr>
              <w:t xml:space="preserve">, </w:t>
            </w:r>
            <w:r>
              <w:rPr>
                <w:rFonts w:ascii="Consolas" w:cs="Consolas" w:eastAsia="Consolas" w:hAnsi="Consolas"/>
                <w:color w:val="1A1D21"/>
                <w:sz w:val="15"/>
                <w:szCs w:val="15"/>
                <w:shd w:fill="F2F1ED" w:color="auto" w:val="clear"/>
              </w:rPr>
              <w:t xml:space="preserve">supersedes</w:t>
            </w:r>
          </w:p>
        </w:tc>
        <w:tc>
          <w:tcPr>
            <w:tcW w:type="dxa" w:w="7072"/>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OPTIONAL</w:t>
            </w:r>
            <w:r>
              <w:rPr>
                <w:sz w:val="18"/>
                <w:szCs w:val="18"/>
              </w:rPr>
              <w:t xml:space="preserve">. Why the current assertion replaced its predecessor, and which one.</w:t>
            </w:r>
          </w:p>
        </w:tc>
      </w:tr>
    </w:tbl>
    <w:p>
      <w:pPr>
        <w:pStyle w:val="BodyCopy"/>
      </w:pPr>
      <w:r>
        <w:rPr>
          <w:rFonts w:ascii="Consolas" w:cs="Consolas" w:eastAsia="Consolas" w:hAnsi="Consolas"/>
          <w:color w:val="1A1D21"/>
          <w:sz w:val="18"/>
          <w:szCs w:val="18"/>
          <w:shd w:fill="F2F1ED" w:color="auto" w:val="clear"/>
        </w:rPr>
        <w:t xml:space="preserve">method</w:t>
      </w:r>
      <w:r>
        <w:t xml:space="preserve"> is required because it is the field that ages best. Thirty years on, knowing that a value was measured at commissioning rather than typed in from a drawing is often the difference between trusting it and re-surveying.</w:t>
      </w:r>
    </w:p>
    <w:p>
      <w:pPr>
        <w:pStyle w:val="Heading2"/>
      </w:pPr>
      <w:r>
        <w:rPr>
          <w:color w:val="8C6D46"/>
        </w:rPr>
        <w:t xml:space="preserve">14.2</w:t>
      </w:r>
      <w:r>
        <w:t xml:space="preserve">  </w:t>
      </w:r>
      <w:r>
        <w:t xml:space="preserve">Change records</w:t>
      </w:r>
    </w:p>
    <w:p>
      <w:pPr>
        <w:pStyle w:val="BodyCopy"/>
      </w:pPr>
      <w:r>
        <w:t xml:space="preserve">A </w:t>
      </w:r>
      <w:r>
        <w:rPr>
          <w:rFonts w:ascii="Consolas" w:cs="Consolas" w:eastAsia="Consolas" w:hAnsi="Consolas"/>
          <w:color w:val="1A1D21"/>
          <w:sz w:val="18"/>
          <w:szCs w:val="18"/>
          <w:shd w:fill="F2F1ED" w:color="auto" w:val="clear"/>
        </w:rPr>
        <w:t xml:space="preserve">bus:ChangeRecord</w:t>
      </w:r>
      <w:r>
        <w:t xml:space="preserve"> states that something changed: its subject, an operation, the time, the agent, a reason, and the revision it moved to. An exporter holding change history and omitting it </w:t>
      </w:r>
      <w:r>
        <w:rPr>
          <w:b/>
          <w:bCs/>
          <w:color w:val="8C6D46"/>
        </w:rPr>
        <w:t xml:space="preserve">MUST</w:t>
      </w:r>
      <w:r>
        <w:t xml:space="preserve"> declare the </w:t>
      </w:r>
      <w:r>
        <w:rPr>
          <w:rFonts w:ascii="Consolas" w:cs="Consolas" w:eastAsia="Consolas" w:hAnsi="Consolas"/>
          <w:color w:val="1A1D21"/>
          <w:sz w:val="18"/>
          <w:szCs w:val="18"/>
          <w:shd w:fill="F2F1ED" w:color="auto" w:val="clear"/>
        </w:rPr>
        <w:t xml:space="preserve">provenance</w:t>
      </w:r>
      <w:r>
        <w:t xml:space="preserve"> domain as partial.</w:t>
      </w:r>
    </w:p>
    <w:p>
      <w:pPr>
        <w:pStyle w:val="NoteCopy"/>
      </w:pPr>
      <w:r>
        <w:rPr>
          <w:b/>
          <w:bCs/>
          <w:color w:val="70757C"/>
          <w:sz w:val="18"/>
          <w:szCs w:val="18"/>
        </w:rPr>
        <w:t xml:space="preserve">NOTE </w:t>
      </w:r>
      <w:r>
        <w:rPr>
          <w:color w:val="70757C"/>
          <w:sz w:val="18"/>
          <w:szCs w:val="18"/>
        </w:rPr>
        <w:t xml:space="preserve">Change records are not an audit log and need not be complete or contiguous. A partial change history is materially better than none, and a standard demanding completeness here would be ignored.</w:t>
      </w:r>
    </w:p>
    <w:p>
      <w:pPr>
        <w:pStyle w:val="Heading2"/>
      </w:pPr>
      <w:r>
        <w:rPr>
          <w:color w:val="8C6D46"/>
        </w:rPr>
        <w:t xml:space="preserve">14.3</w:t>
      </w:r>
      <w:r>
        <w:t xml:space="preserve">  </w:t>
      </w:r>
      <w:r>
        <w:t xml:space="preserve">Provenance is not overwritten</w:t>
      </w:r>
    </w:p>
    <w:tbl>
      <w:tblPr>
        <w:tblW w:type="dxa" w:w="9072"/>
        <w:tblBorders>
          <w:top w:val="none" w:color="FFFFFF" w:sz="0"/>
          <w:left w:val="single" w:color="8C6D46" w:sz="24"/>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F5F3EE" w:color="auto" w:val="clear"/>
            <w:tcMar>
              <w:top w:type="dxa" w:w="200"/>
              <w:left w:type="dxa" w:w="260"/>
              <w:bottom w:type="dxa" w:w="200"/>
              <w:right w:type="dxa" w:w="260"/>
            </w:tcMar>
          </w:tcPr>
          <w:p>
            <w:pPr>
              <w:spacing w:after="80"/>
            </w:pPr>
            <w:r>
              <w:rPr>
                <w:rFonts w:ascii="Georgia" w:cs="Georgia" w:eastAsia="Georgia" w:hAnsi="Georgia"/>
                <w:b/>
                <w:bCs/>
                <w:color w:val="1A1D21"/>
                <w:sz w:val="22"/>
                <w:szCs w:val="22"/>
              </w:rPr>
              <w:t xml:space="preserve">Requirement 14.3-1</w:t>
            </w:r>
          </w:p>
          <w:p>
            <w:pPr>
              <w:spacing w:after="0" w:line="280"/>
            </w:pPr>
            <w:r>
              <w:rPr>
                <w:sz w:val="20"/>
                <w:szCs w:val="20"/>
              </w:rPr>
              <w:t xml:space="preserve">An importer </w:t>
            </w:r>
            <w:r>
              <w:rPr>
                <w:b/>
                <w:bCs/>
                <w:color w:val="8C6D46"/>
                <w:sz w:val="20"/>
                <w:szCs w:val="20"/>
              </w:rPr>
              <w:t xml:space="preserve">MAY</w:t>
            </w:r>
            <w:r>
              <w:rPr>
                <w:sz w:val="20"/>
                <w:szCs w:val="20"/>
              </w:rPr>
              <w:t xml:space="preserve"> add its own provenance to any assertion it receives. It </w:t>
            </w:r>
            <w:r>
              <w:rPr>
                <w:b/>
                <w:bCs/>
                <w:color w:val="8C6D46"/>
                <w:sz w:val="20"/>
                <w:szCs w:val="20"/>
              </w:rPr>
              <w:t xml:space="preserve">MUST NOT</w:t>
            </w:r>
            <w:r>
              <w:rPr>
                <w:sz w:val="20"/>
                <w:szCs w:val="20"/>
              </w:rPr>
              <w:t xml:space="preserve"> replace, rewrite, or discard the provenance that arrived with it. An import is an event in a building’s history, not a reset of it.</w:t>
            </w:r>
          </w:p>
        </w:tc>
      </w:tr>
    </w:tbl>
    <w:p>
      <w:pPr>
        <w:spacing w:after="120"/>
      </w:pPr>
      <w:r>
        <w:rPr>
          <w:sz w:val="2"/>
          <w:szCs w:val="2"/>
        </w:rPr>
        <w:t xml:space="preserve"/>
      </w:r>
    </w:p>
    <w:p>
      <w:pPr>
        <w:pStyle w:val="BodyCopy"/>
      </w:pPr>
      <w:r>
        <w:t xml:space="preserve">A package that has passed through three systems in twenty years carries three layers of provenance, and an operator can see which assertions have been touched by whom. That accumulation is the point.</w:t>
      </w:r>
    </w:p>
    <w:p>
      <w:pPr>
        <w:pStyle w:val="Heading1"/>
      </w:pPr>
      <w:r>
        <w:rPr>
          <w:rFonts w:ascii="Georgia" w:cs="Georgia" w:eastAsia="Georgia" w:hAnsi="Georgia"/>
          <w:color w:val="8C6D46"/>
        </w:rPr>
        <w:t xml:space="preserve">15</w:t>
      </w:r>
      <w:r>
        <w:t xml:space="preserve">  </w:t>
      </w:r>
      <w:r>
        <w:t xml:space="preserve">Extensions</w:t>
      </w:r>
    </w:p>
    <w:p>
      <w:pPr>
        <w:spacing w:after="160" w:before="0"/>
      </w:pPr>
      <w:r>
        <w:rPr>
          <w:rFonts w:ascii="Calibri" w:cs="Calibri" w:eastAsia="Calibri" w:hAnsi="Calibri"/>
          <w:b/>
          <w:bCs/>
          <w:color w:val="8C6D46"/>
          <w:spacing w:val="40"/>
          <w:sz w:val="14"/>
          <w:szCs w:val="14"/>
        </w:rPr>
        <w:t xml:space="preserve">AGREED</w:t>
      </w:r>
    </w:p>
    <w:p>
      <w:pPr>
        <w:pStyle w:val="Heading2"/>
      </w:pPr>
      <w:r>
        <w:rPr>
          <w:color w:val="8C6D46"/>
        </w:rPr>
        <w:t xml:space="preserve">15.1</w:t>
      </w:r>
      <w:r>
        <w:t xml:space="preserve">  </w:t>
      </w:r>
      <w:r>
        <w:t xml:space="preserve">Purpose</w:t>
      </w:r>
    </w:p>
    <w:p>
      <w:pPr>
        <w:pStyle w:val="BodyCopy"/>
      </w:pPr>
      <w:r>
        <w:t xml:space="preserve">The extension mechanism exists so that innovation does not wait for a version of this document, and so that a vendor is never forced to choose between conformance and a capability. It is also the mechanism most likely to be abused, and this clause is correspondingly strict.</w:t>
      </w:r>
    </w:p>
    <w:p>
      <w:pPr>
        <w:pStyle w:val="Heading2"/>
      </w:pPr>
      <w:r>
        <w:rPr>
          <w:color w:val="8C6D46"/>
        </w:rPr>
        <w:t xml:space="preserve">15.2</w:t>
      </w:r>
      <w:r>
        <w:t xml:space="preserve">  </w:t>
      </w:r>
      <w:r>
        <w:t xml:space="preserve">Namespaces</w:t>
      </w:r>
    </w:p>
    <w:p>
      <w:pPr>
        <w:pStyle w:val="BodyCopy"/>
      </w:pPr>
      <w:r>
        <w:t xml:space="preserve">Extension data is carried in an </w:t>
      </w:r>
      <w:r>
        <w:rPr>
          <w:rFonts w:ascii="Consolas" w:cs="Consolas" w:eastAsia="Consolas" w:hAnsi="Consolas"/>
          <w:color w:val="1A1D21"/>
          <w:sz w:val="18"/>
          <w:szCs w:val="18"/>
          <w:shd w:fill="F2F1ED" w:color="auto" w:val="clear"/>
        </w:rPr>
        <w:t xml:space="preserve">extensions</w:t>
      </w:r>
      <w:r>
        <w:t xml:space="preserve"> map whose keys are absolute URIs or reverse-DNS tokens. The prefix </w:t>
      </w:r>
      <w:r>
        <w:rPr>
          <w:rFonts w:ascii="Consolas" w:cs="Consolas" w:eastAsia="Consolas" w:hAnsi="Consolas"/>
          <w:color w:val="1A1D21"/>
          <w:sz w:val="18"/>
          <w:szCs w:val="18"/>
          <w:shd w:fill="F2F1ED" w:color="auto" w:val="clear"/>
        </w:rPr>
        <w:t xml:space="preserve">bus</w:t>
      </w:r>
      <w:r>
        <w:t xml:space="preserve"> is reserved and </w:t>
      </w:r>
      <w:r>
        <w:rPr>
          <w:b/>
          <w:bCs/>
          <w:color w:val="8C6D46"/>
        </w:rPr>
        <w:t xml:space="preserve">MUST NOT</w:t>
      </w:r>
      <w:r>
        <w:t xml:space="preserve"> be redefined.</w:t>
      </w:r>
    </w:p>
    <w:p>
      <w:pPr>
        <w:pStyle w:val="Heading2"/>
      </w:pPr>
      <w:r>
        <w:rPr>
          <w:color w:val="8C6D46"/>
        </w:rPr>
        <w:t xml:space="preserve">15.3</w:t>
      </w:r>
      <w:r>
        <w:t xml:space="preserve">  </w:t>
      </w:r>
      <w:r>
        <w:t xml:space="preserve">Declaration</w:t>
      </w:r>
    </w:p>
    <w:p>
      <w:pPr>
        <w:pStyle w:val="BodyCopy"/>
      </w:pPr>
      <w:r>
        <w:t xml:space="preserve">Every namespace used anywhere in a package </w:t>
      </w:r>
      <w:r>
        <w:rPr>
          <w:b/>
          <w:bCs/>
          <w:color w:val="8C6D46"/>
        </w:rPr>
        <w:t xml:space="preserve">MUST</w:t>
      </w:r>
      <w:r>
        <w:t xml:space="preserve"> be declared in the manifest with a prefix, a namespace URI, a must-understand flag, and </w:t>
      </w:r>
      <w:r>
        <w:rPr>
          <w:b/>
          <w:bCs/>
          <w:color w:val="8C6D46"/>
        </w:rPr>
        <w:t xml:space="preserve">SHOULD</w:t>
      </w:r>
      <w:r>
        <w:t xml:space="preserve"> carry a description and specification URI. An undeclared namespace is a package validity failure (test PK-9). The rule exists so an owner can read one file and see every proprietary construct their building has accumulated.</w:t>
      </w:r>
    </w:p>
    <w:p>
      <w:pPr>
        <w:pStyle w:val="Heading2"/>
      </w:pPr>
      <w:r>
        <w:rPr>
          <w:color w:val="8C6D46"/>
        </w:rPr>
        <w:t xml:space="preserve">15.4</w:t>
      </w:r>
      <w:r>
        <w:t xml:space="preserve">  </w:t>
      </w:r>
      <w:r>
        <w:t xml:space="preserve">Must-understand and preservation</w:t>
      </w:r>
    </w:p>
    <w:tbl>
      <w:tblPr>
        <w:tblW w:type="dxa" w:w="9072"/>
        <w:tblBorders>
          <w:top w:val="none" w:color="FFFFFF" w:sz="0"/>
          <w:left w:val="single" w:color="8C6D46" w:sz="24"/>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F5F3EE" w:color="auto" w:val="clear"/>
            <w:tcMar>
              <w:top w:type="dxa" w:w="200"/>
              <w:left w:type="dxa" w:w="260"/>
              <w:bottom w:type="dxa" w:w="200"/>
              <w:right w:type="dxa" w:w="260"/>
            </w:tcMar>
          </w:tcPr>
          <w:p>
            <w:pPr>
              <w:spacing w:after="80"/>
            </w:pPr>
            <w:r>
              <w:rPr>
                <w:rFonts w:ascii="Georgia" w:cs="Georgia" w:eastAsia="Georgia" w:hAnsi="Georgia"/>
                <w:b/>
                <w:bCs/>
                <w:color w:val="1A1D21"/>
                <w:sz w:val="22"/>
                <w:szCs w:val="22"/>
              </w:rPr>
              <w:t xml:space="preserve">Requirement 15.4-1</w:t>
            </w:r>
          </w:p>
          <w:p>
            <w:pPr>
              <w:spacing w:after="0" w:line="280"/>
            </w:pPr>
            <w:r>
              <w:rPr>
                <w:sz w:val="20"/>
                <w:szCs w:val="20"/>
              </w:rPr>
              <w:t xml:space="preserve">An importer </w:t>
            </w:r>
            <w:r>
              <w:rPr>
                <w:b/>
                <w:bCs/>
                <w:color w:val="8C6D46"/>
                <w:sz w:val="20"/>
                <w:szCs w:val="20"/>
              </w:rPr>
              <w:t xml:space="preserve">MUST</w:t>
            </w:r>
            <w:r>
              <w:rPr>
                <w:sz w:val="20"/>
                <w:szCs w:val="20"/>
              </w:rPr>
              <w:t xml:space="preserve"> preserve every extension it receives, verbatim, whether or not it understands the namespace, and </w:t>
            </w:r>
            <w:r>
              <w:rPr>
                <w:b/>
                <w:bCs/>
                <w:color w:val="8C6D46"/>
                <w:sz w:val="20"/>
                <w:szCs w:val="20"/>
              </w:rPr>
              <w:t xml:space="preserve">MUST</w:t>
            </w:r>
            <w:r>
              <w:rPr>
                <w:sz w:val="20"/>
                <w:szCs w:val="20"/>
              </w:rPr>
              <w:t xml:space="preserve"> re-emit it on export with its declaration intact. Preservation is unconditional and does not depend on the must-understand flag.</w:t>
            </w:r>
          </w:p>
        </w:tc>
      </w:tr>
    </w:tbl>
    <w:p>
      <w:pPr>
        <w:spacing w:after="120"/>
      </w:pPr>
      <w:r>
        <w:rPr>
          <w:sz w:val="2"/>
          <w:szCs w:val="2"/>
        </w:rPr>
        <w:t xml:space="preserve"/>
      </w:r>
    </w:p>
    <w:tbl>
      <w:tblPr>
        <w:tblW w:type="dxa" w:w="9072"/>
        <w:tblBorders>
          <w:top w:val="none" w:color="FFFFFF" w:sz="0"/>
          <w:left w:val="single" w:color="8C6D46" w:sz="24"/>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F5F3EE" w:color="auto" w:val="clear"/>
            <w:tcMar>
              <w:top w:type="dxa" w:w="200"/>
              <w:left w:type="dxa" w:w="260"/>
              <w:bottom w:type="dxa" w:w="200"/>
              <w:right w:type="dxa" w:w="260"/>
            </w:tcMar>
          </w:tcPr>
          <w:p>
            <w:pPr>
              <w:spacing w:after="80"/>
            </w:pPr>
            <w:r>
              <w:rPr>
                <w:rFonts w:ascii="Georgia" w:cs="Georgia" w:eastAsia="Georgia" w:hAnsi="Georgia"/>
                <w:b/>
                <w:bCs/>
                <w:color w:val="1A1D21"/>
                <w:sz w:val="22"/>
                <w:szCs w:val="22"/>
              </w:rPr>
              <w:t xml:space="preserve">Requirement 15.4-2</w:t>
            </w:r>
          </w:p>
          <w:p>
            <w:pPr>
              <w:spacing w:after="0" w:line="280"/>
            </w:pPr>
            <w:r>
              <w:rPr>
                <w:sz w:val="20"/>
                <w:szCs w:val="20"/>
              </w:rPr>
              <w:t xml:space="preserve">Where an extension is declared with </w:t>
            </w:r>
            <w:r>
              <w:rPr>
                <w:rFonts w:ascii="Consolas" w:cs="Consolas" w:eastAsia="Consolas" w:hAnsi="Consolas"/>
                <w:color w:val="1A1D21"/>
                <w:sz w:val="17"/>
                <w:szCs w:val="17"/>
                <w:shd w:fill="F2F1ED" w:color="auto" w:val="clear"/>
              </w:rPr>
              <w:t xml:space="preserve">mustUnderstand</w:t>
            </w:r>
            <w:r>
              <w:rPr>
                <w:sz w:val="20"/>
                <w:szCs w:val="20"/>
              </w:rPr>
              <w:t xml:space="preserve"> true and the importer cannot interpret it, the importer </w:t>
            </w:r>
            <w:r>
              <w:rPr>
                <w:b/>
                <w:bCs/>
                <w:color w:val="8C6D46"/>
                <w:sz w:val="20"/>
                <w:szCs w:val="20"/>
              </w:rPr>
              <w:t xml:space="preserve">MUST NOT</w:t>
            </w:r>
            <w:r>
              <w:rPr>
                <w:sz w:val="20"/>
                <w:szCs w:val="20"/>
              </w:rPr>
              <w:t xml:space="preserve"> report the import as successful. It </w:t>
            </w:r>
            <w:r>
              <w:rPr>
                <w:b/>
                <w:bCs/>
                <w:color w:val="8C6D46"/>
                <w:sz w:val="20"/>
                <w:szCs w:val="20"/>
              </w:rPr>
              <w:t xml:space="preserve">MUST</w:t>
            </w:r>
            <w:r>
              <w:rPr>
                <w:sz w:val="20"/>
                <w:szCs w:val="20"/>
              </w:rPr>
              <w:t xml:space="preserve"> report the import as incomplete and name the namespace. It </w:t>
            </w:r>
            <w:r>
              <w:rPr>
                <w:b/>
                <w:bCs/>
                <w:color w:val="8C6D46"/>
                <w:sz w:val="20"/>
                <w:szCs w:val="20"/>
              </w:rPr>
              <w:t xml:space="preserve">MUST</w:t>
            </w:r>
            <w:r>
              <w:rPr>
                <w:sz w:val="20"/>
                <w:szCs w:val="20"/>
              </w:rPr>
              <w:t xml:space="preserve"> still preserve the data.</w:t>
            </w:r>
          </w:p>
        </w:tc>
      </w:tr>
    </w:tbl>
    <w:p>
      <w:pPr>
        <w:spacing w:after="120"/>
      </w:pPr>
      <w:r>
        <w:rPr>
          <w:sz w:val="2"/>
          <w:szCs w:val="2"/>
        </w:rPr>
        <w:t xml:space="preserve"/>
      </w:r>
    </w:p>
    <w:p>
      <w:pPr>
        <w:pStyle w:val="BodyCopy"/>
      </w:pPr>
      <w:r>
        <w:rPr>
          <w:rFonts w:ascii="Consolas" w:cs="Consolas" w:eastAsia="Consolas" w:hAnsi="Consolas"/>
          <w:color w:val="1A1D21"/>
          <w:sz w:val="18"/>
          <w:szCs w:val="18"/>
          <w:shd w:fill="F2F1ED" w:color="auto" w:val="clear"/>
        </w:rPr>
        <w:t xml:space="preserve">mustUnderstand</w:t>
      </w:r>
      <w:r>
        <w:t xml:space="preserve"> </w:t>
      </w:r>
      <w:r>
        <w:rPr>
          <w:b/>
          <w:bCs/>
          <w:color w:val="8C6D46"/>
        </w:rPr>
        <w:t xml:space="preserve">SHOULD</w:t>
      </w:r>
      <w:r>
        <w:t xml:space="preserve"> be set only where acting on the model without interpreting the extension would be wrong — a safety interlock expressed in a proprietary form, for example. Setting it routinely, so that no competitor can claim a clean import, is an abuse of the mechanism and governance should treat it as a conformance matter rather than a technical one.</w:t>
      </w:r>
    </w:p>
    <w:p>
      <w:pPr>
        <w:pStyle w:val="Heading2"/>
      </w:pPr>
      <w:r>
        <w:rPr>
          <w:color w:val="8C6D46"/>
        </w:rPr>
        <w:t xml:space="preserve">15.5</w:t>
      </w:r>
      <w:r>
        <w:t xml:space="preserve">  </w:t>
      </w:r>
      <w:r>
        <w:t xml:space="preserve">Promotion</w:t>
      </w:r>
    </w:p>
    <w:p>
      <w:pPr>
        <w:pStyle w:val="BodyCopy"/>
      </w:pPr>
      <w:r>
        <w:t xml:space="preserve">An extension implemented by several independent parties, that expresses something about the building rather than about a product, is a candidate for promotion into the core in a later MINOR version. On promotion the core construct becomes normative and the extension namespace is deprecated but </w:t>
      </w:r>
      <w:r>
        <w:rPr>
          <w:b/>
          <w:bCs/>
          <w:color w:val="8C6D46"/>
        </w:rPr>
        <w:t xml:space="preserve">MUST</w:t>
      </w:r>
      <w:r>
        <w:t xml:space="preserve"> continue to be accepted.</w:t>
      </w:r>
    </w:p>
    <w:p>
      <w:pPr>
        <w:pStyle w:val="BodyCopy"/>
      </w:pPr>
      <w:r>
        <w:t xml:space="preserve">The same mechanism applies to property definitions (7.8.1), and is the route by which shared vocabulary is expected to emerge without a committee defining one in advance.</w:t>
      </w:r>
    </w:p>
    <w:p>
      <w:pPr>
        <w:pStyle w:val="Heading1"/>
      </w:pPr>
      <w:r>
        <w:rPr>
          <w:rFonts w:ascii="Georgia" w:cs="Georgia" w:eastAsia="Georgia" w:hAnsi="Georgia"/>
          <w:color w:val="8C6D46"/>
        </w:rPr>
        <w:t xml:space="preserve">16</w:t>
      </w:r>
      <w:r>
        <w:t xml:space="preserve">  </w:t>
      </w:r>
      <w:r>
        <w:t xml:space="preserve">The exchange package</w:t>
      </w:r>
    </w:p>
    <w:p>
      <w:pPr>
        <w:spacing w:after="160" w:before="0"/>
      </w:pPr>
      <w:r>
        <w:rPr>
          <w:rFonts w:ascii="Calibri" w:cs="Calibri" w:eastAsia="Calibri" w:hAnsi="Calibri"/>
          <w:b/>
          <w:bCs/>
          <w:color w:val="8C6D46"/>
          <w:spacing w:val="40"/>
          <w:sz w:val="14"/>
          <w:szCs w:val="14"/>
        </w:rPr>
        <w:t xml:space="preserve">AGREED</w:t>
      </w:r>
      <w:r>
        <w:t xml:space="preserve">   </w:t>
      </w:r>
      <w:r>
        <w:rPr>
          <w:i/>
          <w:iCs/>
          <w:color w:val="70757C"/>
          <w:sz w:val="17"/>
          <w:szCs w:val="17"/>
        </w:rPr>
        <w:t xml:space="preserve">Dictionaries (16.8) are PROVISIONAL and the compact wire format remains OPEN.</w:t>
      </w:r>
    </w:p>
    <w:p>
      <w:pPr>
        <w:pStyle w:val="Heading2"/>
      </w:pPr>
      <w:r>
        <w:rPr>
          <w:color w:val="8C6D46"/>
        </w:rPr>
        <w:t xml:space="preserve">16.1</w:t>
      </w:r>
      <w:r>
        <w:t xml:space="preserve">  </w:t>
      </w:r>
      <w:r>
        <w:t xml:space="preserve">Overview</w:t>
      </w:r>
    </w:p>
    <w:tbl>
      <w:tblPr>
        <w:tblW w:type="dxa" w:w="9072"/>
        <w:tblBorders>
          <w:top w:val="none" w:color="FFFFFF" w:sz="0"/>
          <w:left w:val="single" w:color="D9D4C9" w:sz="12"/>
          <w:bottom w:val="none" w:color="FFFFFF" w:sz="0"/>
          <w:right w:val="none" w:color="FFFFFF" w:sz="0"/>
          <w:insideH w:val="none" w:color="FFFFFF" w:sz="0"/>
          <w:insideV w:val="none" w:color="FFFFFF" w:sz="0"/>
        </w:tblBorders>
        <w:tblLayout w:type="fixed"/>
      </w:tblPr>
      <w:tblGrid>
        <w:gridCol w:w="9072"/>
      </w:tblGrid>
      <w:tr>
        <w:trPr>
          <w:cantSplit w:val="false"/>
        </w:trPr>
        <w:tc>
          <w:tcPr>
            <w:tcW w:type="dxa" w:w="9072"/>
            <w:shd w:fill="F2F1ED" w:color="auto" w:val="clear"/>
            <w:tcMar>
              <w:top w:type="dxa" w:w="160"/>
              <w:left w:type="dxa" w:w="220"/>
              <w:bottom w:type="dxa" w:w="160"/>
              <w:right w:type="dxa" w:w="200"/>
            </w:tcMar>
          </w:tcPr>
          <w:p>
            <w:pPr>
              <w:spacing w:after="20" w:line="240"/>
            </w:pPr>
            <w:r>
              <w:rPr>
                <w:rFonts w:ascii="Consolas" w:cs="Consolas" w:eastAsia="Consolas" w:hAnsi="Consolas"/>
                <w:color w:val="1A1D21"/>
                <w:sz w:val="16"/>
                <w:szCs w:val="16"/>
              </w:rPr>
              <w:t xml:space="preserve">cedar-street-building-a.buspkg</w:t>
            </w:r>
          </w:p>
          <w:p>
            <w:pPr>
              <w:spacing w:after="20" w:line="240"/>
            </w:pPr>
            <w:r>
              <w:rPr>
                <w:rFonts w:ascii="Consolas" w:cs="Consolas" w:eastAsia="Consolas" w:hAnsi="Consolas"/>
                <w:color w:val="1A1D21"/>
                <w:sz w:val="16"/>
                <w:szCs w:val="16"/>
              </w:rPr>
              <w:t xml:space="preserve">  mimetype                      first entry, stored uncompressed</w:t>
            </w:r>
          </w:p>
          <w:p>
            <w:pPr>
              <w:spacing w:after="20" w:line="240"/>
            </w:pPr>
            <w:r>
              <w:rPr>
                <w:rFonts w:ascii="Consolas" w:cs="Consolas" w:eastAsia="Consolas" w:hAnsi="Consolas"/>
                <w:color w:val="1A1D21"/>
                <w:sz w:val="16"/>
                <w:szCs w:val="16"/>
              </w:rPr>
              <w:t xml:space="preserve">  manifest.json                 the entry point</w:t>
            </w:r>
          </w:p>
          <w:p>
            <w:pPr>
              <w:spacing w:after="20" w:line="240"/>
            </w:pPr>
            <w:r>
              <w:rPr>
                <w:rFonts w:ascii="Consolas" w:cs="Consolas" w:eastAsia="Consolas" w:hAnsi="Consolas"/>
                <w:color w:val="1A1D21"/>
                <w:sz w:val="16"/>
                <w:szCs w:val="16"/>
              </w:rPr>
              <w:t xml:space="preserve">  model/</w:t>
            </w:r>
          </w:p>
          <w:p>
            <w:pPr>
              <w:spacing w:after="20" w:line="240"/>
            </w:pPr>
            <w:r>
              <w:rPr>
                <w:rFonts w:ascii="Consolas" w:cs="Consolas" w:eastAsia="Consolas" w:hAnsi="Consolas"/>
                <w:color w:val="1A1D21"/>
                <w:sz w:val="16"/>
                <w:szCs w:val="16"/>
              </w:rPr>
              <w:t xml:space="preserve">    identity.json               parties and buildings</w:t>
            </w:r>
          </w:p>
          <w:p>
            <w:pPr>
              <w:spacing w:after="20" w:line="240"/>
            </w:pPr>
            <w:r>
              <w:rPr>
                <w:rFonts w:ascii="Consolas" w:cs="Consolas" w:eastAsia="Consolas" w:hAnsi="Consolas"/>
                <w:color w:val="1A1D21"/>
                <w:sz w:val="16"/>
                <w:szCs w:val="16"/>
              </w:rPr>
              <w:t xml:space="preserve">    properties.json             property definitions</w:t>
            </w:r>
          </w:p>
          <w:p>
            <w:pPr>
              <w:spacing w:after="20" w:line="240"/>
            </w:pPr>
            <w:r>
              <w:rPr>
                <w:rFonts w:ascii="Consolas" w:cs="Consolas" w:eastAsia="Consolas" w:hAnsi="Consolas"/>
                <w:color w:val="1A1D21"/>
                <w:sz w:val="16"/>
                <w:szCs w:val="16"/>
              </w:rPr>
              <w:t xml:space="preserve">    spaces.json                 spaces and zones</w:t>
            </w:r>
          </w:p>
          <w:p>
            <w:pPr>
              <w:spacing w:after="20" w:line="240"/>
            </w:pPr>
            <w:r>
              <w:rPr>
                <w:rFonts w:ascii="Consolas" w:cs="Consolas" w:eastAsia="Consolas" w:hAnsi="Consolas"/>
                <w:color w:val="1A1D21"/>
                <w:sz w:val="16"/>
                <w:szCs w:val="16"/>
              </w:rPr>
              <w:t xml:space="preserve">    assets.json                 systems, asset types, assets</w:t>
            </w:r>
          </w:p>
          <w:p>
            <w:pPr>
              <w:spacing w:after="20" w:line="240"/>
            </w:pPr>
            <w:r>
              <w:rPr>
                <w:rFonts w:ascii="Consolas" w:cs="Consolas" w:eastAsia="Consolas" w:hAnsi="Consolas"/>
                <w:color w:val="1A1D21"/>
                <w:sz w:val="16"/>
                <w:szCs w:val="16"/>
              </w:rPr>
              <w:t xml:space="preserve">    points.json                 points and telemetry bindings</w:t>
            </w:r>
          </w:p>
          <w:p>
            <w:pPr>
              <w:spacing w:after="20" w:line="240"/>
            </w:pPr>
            <w:r>
              <w:rPr>
                <w:rFonts w:ascii="Consolas" w:cs="Consolas" w:eastAsia="Consolas" w:hAnsi="Consolas"/>
                <w:color w:val="1A1D21"/>
                <w:sz w:val="16"/>
                <w:szCs w:val="16"/>
              </w:rPr>
              <w:t xml:space="preserve">    relationships.json          the graph</w:t>
            </w:r>
          </w:p>
          <w:p>
            <w:pPr>
              <w:spacing w:after="20" w:line="240"/>
            </w:pPr>
            <w:r>
              <w:rPr>
                <w:rFonts w:ascii="Consolas" w:cs="Consolas" w:eastAsia="Consolas" w:hAnsi="Consolas"/>
                <w:color w:val="1A1D21"/>
                <w:sz w:val="16"/>
                <w:szCs w:val="16"/>
              </w:rPr>
              <w:t xml:space="preserve">    intent.json                 objectives, targets, constraints, schedules, sequences</w:t>
            </w:r>
          </w:p>
          <w:p>
            <w:pPr>
              <w:spacing w:after="20" w:line="240"/>
            </w:pPr>
            <w:r>
              <w:rPr>
                <w:rFonts w:ascii="Consolas" w:cs="Consolas" w:eastAsia="Consolas" w:hAnsi="Consolas"/>
                <w:color w:val="1A1D21"/>
                <w:sz w:val="16"/>
                <w:szCs w:val="16"/>
              </w:rPr>
              <w:t xml:space="preserve">    alarms.json                 alarm definitions</w:t>
            </w:r>
          </w:p>
          <w:p>
            <w:pPr>
              <w:spacing w:after="20" w:line="240"/>
            </w:pPr>
            <w:r>
              <w:rPr>
                <w:rFonts w:ascii="Consolas" w:cs="Consolas" w:eastAsia="Consolas" w:hAnsi="Consolas"/>
                <w:color w:val="1A1D21"/>
                <w:sz w:val="16"/>
                <w:szCs w:val="16"/>
              </w:rPr>
              <w:t xml:space="preserve">    events.json                 events</w:t>
            </w:r>
          </w:p>
          <w:p>
            <w:pPr>
              <w:spacing w:after="20" w:line="240"/>
            </w:pPr>
            <w:r>
              <w:rPr>
                <w:rFonts w:ascii="Consolas" w:cs="Consolas" w:eastAsia="Consolas" w:hAnsi="Consolas"/>
                <w:color w:val="1A1D21"/>
                <w:sz w:val="16"/>
                <w:szCs w:val="16"/>
              </w:rPr>
              <w:t xml:space="preserve">    knowledge.json              knowledge notes</w:t>
            </w:r>
          </w:p>
          <w:p>
            <w:pPr>
              <w:spacing w:after="20" w:line="240"/>
            </w:pPr>
            <w:r>
              <w:rPr>
                <w:rFonts w:ascii="Consolas" w:cs="Consolas" w:eastAsia="Consolas" w:hAnsi="Consolas"/>
                <w:color w:val="1A1D21"/>
                <w:sz w:val="16"/>
                <w:szCs w:val="16"/>
              </w:rPr>
              <w:t xml:space="preserve">    resources.json              resource descriptors</w:t>
            </w:r>
          </w:p>
          <w:p>
            <w:pPr>
              <w:spacing w:after="20" w:line="240"/>
            </w:pPr>
            <w:r>
              <w:rPr>
                <w:rFonts w:ascii="Consolas" w:cs="Consolas" w:eastAsia="Consolas" w:hAnsi="Consolas"/>
                <w:color w:val="1A1D21"/>
                <w:sz w:val="16"/>
                <w:szCs w:val="16"/>
              </w:rPr>
              <w:t xml:space="preserve">    presentation.json           drawings, layers, elements, bindings</w:t>
            </w:r>
          </w:p>
          <w:p>
            <w:pPr>
              <w:spacing w:after="20" w:line="240"/>
            </w:pPr>
            <w:r>
              <w:rPr>
                <w:rFonts w:ascii="Consolas" w:cs="Consolas" w:eastAsia="Consolas" w:hAnsi="Consolas"/>
                <w:color w:val="1A1D21"/>
                <w:sz w:val="16"/>
                <w:szCs w:val="16"/>
              </w:rPr>
              <w:t xml:space="preserve">    provenance.json             change records</w:t>
            </w:r>
          </w:p>
          <w:p>
            <w:pPr>
              <w:spacing w:after="20" w:line="240"/>
            </w:pPr>
            <w:r>
              <w:rPr>
                <w:rFonts w:ascii="Consolas" w:cs="Consolas" w:eastAsia="Consolas" w:hAnsi="Consolas"/>
                <w:color w:val="1A1D21"/>
                <w:sz w:val="16"/>
                <w:szCs w:val="16"/>
              </w:rPr>
              <w:t xml:space="preserve">  resources/                    included artifacts</w:t>
            </w:r>
          </w:p>
          <w:p>
            <w:pPr>
              <w:spacing w:after="20" w:line="240"/>
            </w:pPr>
            <w:r>
              <w:rPr>
                <w:rFonts w:ascii="Consolas" w:cs="Consolas" w:eastAsia="Consolas" w:hAnsi="Consolas"/>
                <w:color w:val="1A1D21"/>
                <w:sz w:val="16"/>
                <w:szCs w:val="16"/>
              </w:rPr>
              <w:t xml:space="preserve">  dictionaries/                 optional compaction (16.8)</w:t>
            </w:r>
          </w:p>
          <w:p>
            <w:pPr>
              <w:spacing w:after="0" w:line="240"/>
            </w:pPr>
            <w:r>
              <w:rPr>
                <w:rFonts w:ascii="Consolas" w:cs="Consolas" w:eastAsia="Consolas" w:hAnsi="Consolas"/>
                <w:color w:val="1A1D21"/>
                <w:sz w:val="16"/>
                <w:szCs w:val="16"/>
              </w:rPr>
              <w:t xml:space="preserve">  extensions/                   unattached extension payloads</w:t>
            </w:r>
          </w:p>
        </w:tc>
      </w:tr>
    </w:tbl>
    <w:p>
      <w:pPr>
        <w:pStyle w:val="Heading2"/>
      </w:pPr>
      <w:r>
        <w:rPr>
          <w:color w:val="8C6D46"/>
        </w:rPr>
        <w:t xml:space="preserve">16.2</w:t>
      </w:r>
      <w:r>
        <w:t xml:space="preserve">  </w:t>
      </w:r>
      <w:r>
        <w:t xml:space="preserve">The container</w:t>
      </w:r>
    </w:p>
    <w:p>
      <w:pPr>
        <w:pStyle w:val="BodyCopy"/>
      </w:pPr>
      <w:r>
        <w:t xml:space="preserve">A package </w:t>
      </w:r>
      <w:r>
        <w:rPr>
          <w:b/>
          <w:bCs/>
          <w:color w:val="8C6D46"/>
        </w:rPr>
        <w:t xml:space="preserve">MUST</w:t>
      </w:r>
      <w:r>
        <w:t xml:space="preserve"> be a ZIP archive conforming to [ISO21320-1]. Only STORED and DEFLATED are permitted, and encryption </w:t>
      </w:r>
      <w:r>
        <w:rPr>
          <w:b/>
          <w:bCs/>
          <w:color w:val="8C6D46"/>
        </w:rPr>
        <w:t xml:space="preserve">MUST NOT</w:t>
      </w:r>
      <w:r>
        <w:t xml:space="preserve"> be used at container level.</w:t>
      </w:r>
    </w:p>
    <w:p>
      <w:pPr>
        <w:pStyle w:val="BodyCopy"/>
      </w:pPr>
      <w:r>
        <w:t xml:space="preserve">The first entry </w:t>
      </w:r>
      <w:r>
        <w:rPr>
          <w:b/>
          <w:bCs/>
          <w:color w:val="8C6D46"/>
        </w:rPr>
        <w:t xml:space="preserve">MUST</w:t>
      </w:r>
      <w:r>
        <w:t xml:space="preserve"> be named </w:t>
      </w:r>
      <w:r>
        <w:rPr>
          <w:rFonts w:ascii="Consolas" w:cs="Consolas" w:eastAsia="Consolas" w:hAnsi="Consolas"/>
          <w:color w:val="1A1D21"/>
          <w:sz w:val="18"/>
          <w:szCs w:val="18"/>
          <w:shd w:fill="F2F1ED" w:color="auto" w:val="clear"/>
        </w:rPr>
        <w:t xml:space="preserve">mimetype</w:t>
      </w:r>
      <w:r>
        <w:t xml:space="preserve">, stored uncompressed, with no extra field, containing exactly the package media type with no trailing newline. This places the media type at a fixed byte offset so a file can be identified without parsing the archive, following the convention of ODF and EPUB.</w:t>
      </w:r>
    </w:p>
    <w:p>
      <w:pPr>
        <w:pStyle w:val="BodyCopy"/>
      </w:pPr>
      <w:r>
        <w:t xml:space="preserve">The file extension is </w:t>
      </w:r>
      <w:r>
        <w:rPr>
          <w:rFonts w:ascii="Consolas" w:cs="Consolas" w:eastAsia="Consolas" w:hAnsi="Consolas"/>
          <w:color w:val="1A1D21"/>
          <w:sz w:val="18"/>
          <w:szCs w:val="18"/>
          <w:shd w:fill="F2F1ED" w:color="auto" w:val="clear"/>
        </w:rPr>
        <w:t xml:space="preserve">.buspkg</w:t>
      </w:r>
      <w:r>
        <w:t xml:space="preserve">. The media type is </w:t>
      </w:r>
      <w:r>
        <w:rPr>
          <w:rFonts w:ascii="Consolas" w:cs="Consolas" w:eastAsia="Consolas" w:hAnsi="Consolas"/>
          <w:color w:val="1A1D21"/>
          <w:sz w:val="18"/>
          <w:szCs w:val="18"/>
          <w:shd w:fill="F2F1ED" w:color="auto" w:val="clear"/>
        </w:rPr>
        <w:t xml:space="preserve">application/vnd.bus.package</w:t>
      </w:r>
      <w:r>
        <w:t xml:space="preserve">.</w:t>
      </w:r>
    </w:p>
    <w:p>
      <w:pPr>
        <w:pStyle w:val="NoteCopy"/>
      </w:pPr>
      <w:r>
        <w:rPr>
          <w:b/>
          <w:bCs/>
          <w:color w:val="70757C"/>
          <w:sz w:val="18"/>
          <w:szCs w:val="18"/>
        </w:rPr>
        <w:t xml:space="preserve">NOTE </w:t>
      </w:r>
      <w:r>
        <w:rPr>
          <w:color w:val="70757C"/>
          <w:sz w:val="18"/>
          <w:szCs w:val="18"/>
        </w:rPr>
        <w:t xml:space="preserve">The media type is in the vendor tree because no recognized standards development organization holds this specification. On adoption, registration </w:t>
      </w:r>
      <w:r>
        <w:rPr>
          <w:b/>
          <w:bCs/>
          <w:color w:val="70757C"/>
          <w:sz w:val="18"/>
          <w:szCs w:val="18"/>
        </w:rPr>
        <w:t xml:space="preserve">MUST</w:t>
      </w:r>
      <w:r>
        <w:rPr>
          <w:color w:val="70757C"/>
          <w:sz w:val="18"/>
          <w:szCs w:val="18"/>
        </w:rPr>
        <w:t xml:space="preserve"> move to the standards tree per [RFC6838] and the vendor-tree name </w:t>
      </w:r>
      <w:r>
        <w:rPr>
          <w:b/>
          <w:bCs/>
          <w:color w:val="70757C"/>
          <w:sz w:val="18"/>
          <w:szCs w:val="18"/>
        </w:rPr>
        <w:t xml:space="preserve">MUST</w:t>
      </w:r>
      <w:r>
        <w:rPr>
          <w:color w:val="70757C"/>
          <w:sz w:val="18"/>
          <w:szCs w:val="18"/>
        </w:rPr>
        <w:t xml:space="preserve"> continue to be accepted.</w:t>
      </w:r>
    </w:p>
    <w:p>
      <w:pPr>
        <w:pStyle w:val="Heading2"/>
      </w:pPr>
      <w:r>
        <w:rPr>
          <w:color w:val="8C6D46"/>
        </w:rPr>
        <w:t xml:space="preserve">16.3</w:t>
      </w:r>
      <w:r>
        <w:t xml:space="preserve">  </w:t>
      </w:r>
      <w:r>
        <w:t xml:space="preserve">The manifest</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2400"/>
        <w:gridCol w:w="6672"/>
      </w:tblGrid>
      <w:tr>
        <w:trPr>
          <w:cantSplit/>
          <w:tblHeader/>
        </w:trPr>
        <w:tc>
          <w:tcPr>
            <w:tcW w:type="dxa" w:w="24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Field</w:t>
            </w:r>
          </w:p>
        </w:tc>
        <w:tc>
          <w:tcPr>
            <w:tcW w:type="dxa" w:w="66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Requirement</w:t>
            </w:r>
          </w:p>
        </w:tc>
      </w:tr>
      <w:tr>
        <w:trPr>
          <w:cantSplit/>
        </w:trPr>
        <w:tc>
          <w:tcPr>
            <w:tcW w:type="dxa" w:w="24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busVersion</w:t>
            </w:r>
            <w:r>
              <w:rPr>
                <w:sz w:val="18"/>
                <w:szCs w:val="18"/>
              </w:rPr>
              <w:t xml:space="preserve">, </w:t>
            </w:r>
            <w:r>
              <w:rPr>
                <w:rFonts w:ascii="Consolas" w:cs="Consolas" w:eastAsia="Consolas" w:hAnsi="Consolas"/>
                <w:color w:val="1A1D21"/>
                <w:sz w:val="15"/>
                <w:szCs w:val="15"/>
                <w:shd w:fill="F2F1ED" w:color="auto" w:val="clear"/>
              </w:rPr>
              <w:t xml:space="preserve">packageId</w:t>
            </w:r>
            <w:r>
              <w:rPr>
                <w:sz w:val="18"/>
                <w:szCs w:val="18"/>
              </w:rPr>
              <w:t xml:space="preserve">, </w:t>
            </w:r>
            <w:r>
              <w:rPr>
                <w:rFonts w:ascii="Consolas" w:cs="Consolas" w:eastAsia="Consolas" w:hAnsi="Consolas"/>
                <w:color w:val="1A1D21"/>
                <w:sz w:val="15"/>
                <w:szCs w:val="15"/>
                <w:shd w:fill="F2F1ED" w:color="auto" w:val="clear"/>
              </w:rPr>
              <w:t xml:space="preserve">createdAt</w:t>
            </w:r>
          </w:p>
        </w:tc>
        <w:tc>
          <w:tcPr>
            <w:tcW w:type="dxa" w:w="6672"/>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REQUIRED</w:t>
            </w:r>
            <w:r>
              <w:rPr>
                <w:sz w:val="18"/>
                <w:szCs w:val="18"/>
              </w:rPr>
              <w:t xml:space="preserve">.</w:t>
            </w:r>
          </w:p>
        </w:tc>
      </w:tr>
      <w:tr>
        <w:trPr>
          <w:cantSplit/>
        </w:trPr>
        <w:tc>
          <w:tcPr>
            <w:tcW w:type="dxa" w:w="24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profile</w:t>
            </w:r>
          </w:p>
        </w:tc>
        <w:tc>
          <w:tcPr>
            <w:tcW w:type="dxa" w:w="6672"/>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REQUIRED</w:t>
            </w:r>
            <w:r>
              <w:rPr>
                <w:sz w:val="18"/>
                <w:szCs w:val="18"/>
              </w:rPr>
              <w:t xml:space="preserve">. The conformance profile claimed. 2.3.</w:t>
            </w:r>
          </w:p>
        </w:tc>
      </w:tr>
      <w:tr>
        <w:trPr>
          <w:cantSplit/>
        </w:trPr>
        <w:tc>
          <w:tcPr>
            <w:tcW w:type="dxa" w:w="24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subject</w:t>
            </w:r>
          </w:p>
        </w:tc>
        <w:tc>
          <w:tcPr>
            <w:tcW w:type="dxa" w:w="6672"/>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REQUIRED</w:t>
            </w:r>
            <w:r>
              <w:rPr>
                <w:sz w:val="18"/>
                <w:szCs w:val="18"/>
              </w:rPr>
              <w:t xml:space="preserve">. Buildings, sites, owner, and the instant the model state was captured.</w:t>
            </w:r>
          </w:p>
        </w:tc>
      </w:tr>
      <w:tr>
        <w:trPr>
          <w:cantSplit/>
        </w:trPr>
        <w:tc>
          <w:tcPr>
            <w:tcW w:type="dxa" w:w="24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exporter</w:t>
            </w:r>
          </w:p>
        </w:tc>
        <w:tc>
          <w:tcPr>
            <w:tcW w:type="dxa" w:w="6672"/>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REQUIRED</w:t>
            </w:r>
            <w:r>
              <w:rPr>
                <w:sz w:val="18"/>
                <w:szCs w:val="18"/>
              </w:rPr>
              <w:t xml:space="preserve">. Vendor, product, version, and a URI for the published conformance statement.</w:t>
            </w:r>
          </w:p>
        </w:tc>
      </w:tr>
      <w:tr>
        <w:trPr>
          <w:cantSplit/>
        </w:trPr>
        <w:tc>
          <w:tcPr>
            <w:tcW w:type="dxa" w:w="24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documents</w:t>
            </w:r>
          </w:p>
        </w:tc>
        <w:tc>
          <w:tcPr>
            <w:tcW w:type="dxa" w:w="6672"/>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REQUIRED</w:t>
            </w:r>
            <w:r>
              <w:rPr>
                <w:sz w:val="18"/>
                <w:szCs w:val="18"/>
              </w:rPr>
              <w:t xml:space="preserve">. Path, type, media type, digest, byte length, entity count.</w:t>
            </w:r>
          </w:p>
        </w:tc>
      </w:tr>
      <w:tr>
        <w:trPr>
          <w:cantSplit/>
        </w:trPr>
        <w:tc>
          <w:tcPr>
            <w:tcW w:type="dxa" w:w="24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resources</w:t>
            </w:r>
          </w:p>
        </w:tc>
        <w:tc>
          <w:tcPr>
            <w:tcW w:type="dxa" w:w="6672"/>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REQUIRED</w:t>
            </w:r>
            <w:r>
              <w:rPr>
                <w:sz w:val="18"/>
                <w:szCs w:val="18"/>
              </w:rPr>
              <w:t xml:space="preserve"> where resources are included.</w:t>
            </w:r>
          </w:p>
        </w:tc>
      </w:tr>
      <w:tr>
        <w:trPr>
          <w:cantSplit/>
        </w:trPr>
        <w:tc>
          <w:tcPr>
            <w:tcW w:type="dxa" w:w="24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extensions</w:t>
            </w:r>
          </w:p>
        </w:tc>
        <w:tc>
          <w:tcPr>
            <w:tcW w:type="dxa" w:w="6672"/>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REQUIRED</w:t>
            </w:r>
            <w:r>
              <w:rPr>
                <w:sz w:val="18"/>
                <w:szCs w:val="18"/>
              </w:rPr>
              <w:t xml:space="preserve"> where extensions are used. 15.3.</w:t>
            </w:r>
          </w:p>
        </w:tc>
      </w:tr>
      <w:tr>
        <w:trPr>
          <w:cantSplit/>
        </w:trPr>
        <w:tc>
          <w:tcPr>
            <w:tcW w:type="dxa" w:w="24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actuation</w:t>
            </w:r>
          </w:p>
        </w:tc>
        <w:tc>
          <w:tcPr>
            <w:tcW w:type="dxa" w:w="6672"/>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REQUIRED</w:t>
            </w:r>
            <w:r>
              <w:rPr>
                <w:sz w:val="18"/>
                <w:szCs w:val="18"/>
              </w:rPr>
              <w:t xml:space="preserve">. 16.7.</w:t>
            </w:r>
          </w:p>
        </w:tc>
      </w:tr>
      <w:tr>
        <w:trPr>
          <w:cantSplit/>
        </w:trPr>
        <w:tc>
          <w:tcPr>
            <w:tcW w:type="dxa" w:w="24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completeness</w:t>
            </w:r>
          </w:p>
        </w:tc>
        <w:tc>
          <w:tcPr>
            <w:tcW w:type="dxa" w:w="6672"/>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REQUIRED</w:t>
            </w:r>
            <w:r>
              <w:rPr>
                <w:sz w:val="18"/>
                <w:szCs w:val="18"/>
              </w:rPr>
              <w:t xml:space="preserve">. 16.6.</w:t>
            </w:r>
          </w:p>
        </w:tc>
      </w:tr>
      <w:tr>
        <w:trPr>
          <w:cantSplit/>
        </w:trPr>
        <w:tc>
          <w:tcPr>
            <w:tcW w:type="dxa" w:w="24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dictionaries</w:t>
            </w:r>
          </w:p>
        </w:tc>
        <w:tc>
          <w:tcPr>
            <w:tcW w:type="dxa" w:w="6672"/>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OPTIONAL</w:t>
            </w:r>
            <w:r>
              <w:rPr>
                <w:sz w:val="18"/>
                <w:szCs w:val="18"/>
              </w:rPr>
              <w:t xml:space="preserve">. 16.8.</w:t>
            </w:r>
          </w:p>
        </w:tc>
      </w:tr>
      <w:tr>
        <w:trPr>
          <w:cantSplit/>
        </w:trPr>
        <w:tc>
          <w:tcPr>
            <w:tcW w:type="dxa" w:w="24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predecessor</w:t>
            </w:r>
          </w:p>
        </w:tc>
        <w:tc>
          <w:tcPr>
            <w:tcW w:type="dxa" w:w="6672"/>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RECOMMENDED</w:t>
            </w:r>
            <w:r>
              <w:rPr>
                <w:sz w:val="18"/>
                <w:szCs w:val="18"/>
              </w:rPr>
              <w:t xml:space="preserve">. The package this one succeeds, forming a chain of custody.</w:t>
            </w:r>
          </w:p>
        </w:tc>
      </w:tr>
      <w:tr>
        <w:trPr>
          <w:cantSplit/>
        </w:trPr>
        <w:tc>
          <w:tcPr>
            <w:tcW w:type="dxa" w:w="24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signatures</w:t>
            </w:r>
          </w:p>
        </w:tc>
        <w:tc>
          <w:tcPr>
            <w:tcW w:type="dxa" w:w="6672"/>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OPTIONAL</w:t>
            </w:r>
            <w:r>
              <w:rPr>
                <w:sz w:val="18"/>
                <w:szCs w:val="18"/>
              </w:rPr>
              <w:t xml:space="preserve">, but </w:t>
            </w:r>
            <w:r>
              <w:rPr>
                <w:b/>
                <w:bCs/>
                <w:color w:val="8C6D46"/>
                <w:sz w:val="18"/>
                <w:szCs w:val="18"/>
              </w:rPr>
              <w:t xml:space="preserve">SHOULD</w:t>
            </w:r>
            <w:r>
              <w:rPr>
                <w:sz w:val="18"/>
                <w:szCs w:val="18"/>
              </w:rPr>
              <w:t xml:space="preserve"> be present where actuation is present. 19.2.</w:t>
            </w:r>
          </w:p>
        </w:tc>
      </w:tr>
    </w:tbl>
    <w:p>
      <w:pPr>
        <w:pStyle w:val="Heading2"/>
      </w:pPr>
      <w:r>
        <w:rPr>
          <w:color w:val="8C6D46"/>
        </w:rPr>
        <w:t xml:space="preserve">16.4</w:t>
      </w:r>
      <w:r>
        <w:t xml:space="preserve">  </w:t>
      </w:r>
      <w:r>
        <w:t xml:space="preserve">Layout and partitioning</w:t>
      </w:r>
    </w:p>
    <w:p>
      <w:pPr>
        <w:pStyle w:val="BodyCopy"/>
      </w:pPr>
      <w:r>
        <w:t xml:space="preserve">Model documents </w:t>
      </w:r>
      <w:r>
        <w:rPr>
          <w:b/>
          <w:bCs/>
          <w:color w:val="8C6D46"/>
        </w:rPr>
        <w:t xml:space="preserve">MUST</w:t>
      </w:r>
      <w:r>
        <w:t xml:space="preserve"> be under </w:t>
      </w:r>
      <w:r>
        <w:rPr>
          <w:rFonts w:ascii="Consolas" w:cs="Consolas" w:eastAsia="Consolas" w:hAnsi="Consolas"/>
          <w:color w:val="1A1D21"/>
          <w:sz w:val="18"/>
          <w:szCs w:val="18"/>
          <w:shd w:fill="F2F1ED" w:color="auto" w:val="clear"/>
        </w:rPr>
        <w:t xml:space="preserve">model/</w:t>
      </w:r>
      <w:r>
        <w:t xml:space="preserve">, resources under </w:t>
      </w:r>
      <w:r>
        <w:rPr>
          <w:rFonts w:ascii="Consolas" w:cs="Consolas" w:eastAsia="Consolas" w:hAnsi="Consolas"/>
          <w:color w:val="1A1D21"/>
          <w:sz w:val="18"/>
          <w:szCs w:val="18"/>
          <w:shd w:fill="F2F1ED" w:color="auto" w:val="clear"/>
        </w:rPr>
        <w:t xml:space="preserve">resources/</w:t>
      </w:r>
      <w:r>
        <w:t xml:space="preserve">, dictionaries under </w:t>
      </w:r>
      <w:r>
        <w:rPr>
          <w:rFonts w:ascii="Consolas" w:cs="Consolas" w:eastAsia="Consolas" w:hAnsi="Consolas"/>
          <w:color w:val="1A1D21"/>
          <w:sz w:val="18"/>
          <w:szCs w:val="18"/>
          <w:shd w:fill="F2F1ED" w:color="auto" w:val="clear"/>
        </w:rPr>
        <w:t xml:space="preserve">dictionaries/</w:t>
      </w:r>
      <w:r>
        <w:t xml:space="preserve">, and unattached extension payloads under </w:t>
      </w:r>
      <w:r>
        <w:rPr>
          <w:rFonts w:ascii="Consolas" w:cs="Consolas" w:eastAsia="Consolas" w:hAnsi="Consolas"/>
          <w:color w:val="1A1D21"/>
          <w:sz w:val="18"/>
          <w:szCs w:val="18"/>
          <w:shd w:fill="F2F1ED" w:color="auto" w:val="clear"/>
        </w:rPr>
        <w:t xml:space="preserve">extensions/</w:t>
      </w:r>
      <w:r>
        <w:t xml:space="preserve">.</w:t>
      </w:r>
    </w:p>
    <w:p>
      <w:pPr>
        <w:pStyle w:val="BodyCopy"/>
      </w:pPr>
      <w:r>
        <w:t xml:space="preserve">A document type </w:t>
      </w:r>
      <w:r>
        <w:rPr>
          <w:b/>
          <w:bCs/>
          <w:color w:val="8C6D46"/>
        </w:rPr>
        <w:t xml:space="preserve">MAY</w:t>
      </w:r>
      <w:r>
        <w:t xml:space="preserve"> be split across files; each part is listed separately with the same </w:t>
      </w:r>
      <w:r>
        <w:rPr>
          <w:rFonts w:ascii="Consolas" w:cs="Consolas" w:eastAsia="Consolas" w:hAnsi="Consolas"/>
          <w:color w:val="1A1D21"/>
          <w:sz w:val="18"/>
          <w:szCs w:val="18"/>
          <w:shd w:fill="F2F1ED" w:color="auto" w:val="clear"/>
        </w:rPr>
        <w:t xml:space="preserve">partOf</w:t>
      </w:r>
      <w:r>
        <w:t xml:space="preserve"> value, and an importer </w:t>
      </w:r>
      <w:r>
        <w:rPr>
          <w:b/>
          <w:bCs/>
          <w:color w:val="8C6D46"/>
        </w:rPr>
        <w:t xml:space="preserve">MUST</w:t>
      </w:r>
      <w:r>
        <w:t xml:space="preserve"> treat the parts as one logical document without assuming ordering. Every archive entry other than </w:t>
      </w:r>
      <w:r>
        <w:rPr>
          <w:rFonts w:ascii="Consolas" w:cs="Consolas" w:eastAsia="Consolas" w:hAnsi="Consolas"/>
          <w:color w:val="1A1D21"/>
          <w:sz w:val="18"/>
          <w:szCs w:val="18"/>
          <w:shd w:fill="F2F1ED" w:color="auto" w:val="clear"/>
        </w:rPr>
        <w:t xml:space="preserve">mimetype</w:t>
      </w:r>
      <w:r>
        <w:t xml:space="preserve"> and </w:t>
      </w:r>
      <w:r>
        <w:rPr>
          <w:rFonts w:ascii="Consolas" w:cs="Consolas" w:eastAsia="Consolas" w:hAnsi="Consolas"/>
          <w:color w:val="1A1D21"/>
          <w:sz w:val="18"/>
          <w:szCs w:val="18"/>
          <w:shd w:fill="F2F1ED" w:color="auto" w:val="clear"/>
        </w:rPr>
        <w:t xml:space="preserve">manifest.json</w:t>
      </w:r>
      <w:r>
        <w:t xml:space="preserve"> </w:t>
      </w:r>
      <w:r>
        <w:rPr>
          <w:b/>
          <w:bCs/>
          <w:color w:val="8C6D46"/>
        </w:rPr>
        <w:t xml:space="preserve">MUST</w:t>
      </w:r>
      <w:r>
        <w:t xml:space="preserve"> appear in the manifest. No entry may be absolute, contain a </w:t>
      </w:r>
      <w:r>
        <w:rPr>
          <w:rFonts w:ascii="Consolas" w:cs="Consolas" w:eastAsia="Consolas" w:hAnsi="Consolas"/>
          <w:color w:val="1A1D21"/>
          <w:sz w:val="18"/>
          <w:szCs w:val="18"/>
          <w:shd w:fill="F2F1ED" w:color="auto" w:val="clear"/>
        </w:rPr>
        <w:t xml:space="preserve">..</w:t>
      </w:r>
      <w:r>
        <w:t xml:space="preserve"> segment, or resolve outside the package root.</w:t>
      </w:r>
    </w:p>
    <w:p>
      <w:pPr>
        <w:pStyle w:val="Heading2"/>
      </w:pPr>
      <w:r>
        <w:rPr>
          <w:color w:val="8C6D46"/>
        </w:rPr>
        <w:t xml:space="preserve">16.5</w:t>
      </w:r>
      <w:r>
        <w:t xml:space="preserve">  </w:t>
      </w:r>
      <w:r>
        <w:t xml:space="preserve">Integrity</w:t>
      </w:r>
    </w:p>
    <w:p>
      <w:pPr>
        <w:pStyle w:val="BodyCopy"/>
      </w:pPr>
      <w:r>
        <w:t xml:space="preserve">Every document and included resource </w:t>
      </w:r>
      <w:r>
        <w:rPr>
          <w:b/>
          <w:bCs/>
          <w:color w:val="8C6D46"/>
        </w:rPr>
        <w:t xml:space="preserve">MUST</w:t>
      </w:r>
      <w:r>
        <w:t xml:space="preserve"> carry a digest computed over the exact bytes stored in the archive. An importer </w:t>
      </w:r>
      <w:r>
        <w:rPr>
          <w:b/>
          <w:bCs/>
          <w:color w:val="8C6D46"/>
        </w:rPr>
        <w:t xml:space="preserve">MUST</w:t>
      </w:r>
      <w:r>
        <w:t xml:space="preserve"> verify every digest before ingesting any content and </w:t>
      </w:r>
      <w:r>
        <w:rPr>
          <w:b/>
          <w:bCs/>
          <w:color w:val="8C6D46"/>
        </w:rPr>
        <w:t xml:space="preserve">MUST</w:t>
      </w:r>
      <w:r>
        <w:t xml:space="preserve"> refuse a package in which any digest does not match. Partial ingestion of a package that fails verification is NOT permitted.</w:t>
      </w:r>
    </w:p>
    <w:p>
      <w:pPr>
        <w:pStyle w:val="BodyCopy"/>
      </w:pPr>
      <w:r>
        <w:t xml:space="preserve">A resource referenced rather than included </w:t>
      </w:r>
      <w:r>
        <w:rPr>
          <w:b/>
          <w:bCs/>
          <w:color w:val="8C6D46"/>
        </w:rPr>
        <w:t xml:space="preserve">MUST</w:t>
      </w:r>
      <w:r>
        <w:t xml:space="preserve"> carry a durable </w:t>
      </w:r>
      <w:r>
        <w:rPr>
          <w:rFonts w:ascii="Consolas" w:cs="Consolas" w:eastAsia="Consolas" w:hAnsi="Consolas"/>
          <w:color w:val="1A1D21"/>
          <w:sz w:val="18"/>
          <w:szCs w:val="18"/>
          <w:shd w:fill="F2F1ED" w:color="auto" w:val="clear"/>
        </w:rPr>
        <w:t xml:space="preserve">uri</w:t>
      </w:r>
      <w:r>
        <w:t xml:space="preserve"> and </w:t>
      </w:r>
      <w:r>
        <w:rPr>
          <w:b/>
          <w:bCs/>
          <w:color w:val="8C6D46"/>
        </w:rPr>
        <w:t xml:space="preserve">SHOULD</w:t>
      </w:r>
      <w:r>
        <w:t xml:space="preserve"> carry a digest. A reference with neither is not durable and does not satisfy 2.4.</w:t>
      </w:r>
    </w:p>
    <w:p>
      <w:pPr>
        <w:pStyle w:val="Heading2"/>
      </w:pPr>
      <w:r>
        <w:rPr>
          <w:color w:val="8C6D46"/>
        </w:rPr>
        <w:t xml:space="preserve">16.6</w:t>
      </w:r>
      <w:r>
        <w:t xml:space="preserve">  </w:t>
      </w:r>
      <w:r>
        <w:t xml:space="preserve">The completeness declaration</w:t>
      </w:r>
    </w:p>
    <w:tbl>
      <w:tblPr>
        <w:tblW w:type="dxa" w:w="9072"/>
        <w:tblBorders>
          <w:top w:val="none" w:color="FFFFFF" w:sz="0"/>
          <w:left w:val="single" w:color="8C6D46" w:sz="24"/>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F5F3EE" w:color="auto" w:val="clear"/>
            <w:tcMar>
              <w:top w:type="dxa" w:w="200"/>
              <w:left w:type="dxa" w:w="260"/>
              <w:bottom w:type="dxa" w:w="200"/>
              <w:right w:type="dxa" w:w="260"/>
            </w:tcMar>
          </w:tcPr>
          <w:p>
            <w:pPr>
              <w:spacing w:after="80"/>
            </w:pPr>
            <w:r>
              <w:rPr>
                <w:rFonts w:ascii="Georgia" w:cs="Georgia" w:eastAsia="Georgia" w:hAnsi="Georgia"/>
                <w:b/>
                <w:bCs/>
                <w:color w:val="1A1D21"/>
                <w:sz w:val="22"/>
                <w:szCs w:val="22"/>
              </w:rPr>
              <w:t xml:space="preserve">Requirement 16.6-1</w:t>
            </w:r>
          </w:p>
          <w:p>
            <w:pPr>
              <w:spacing w:after="0" w:line="280"/>
            </w:pPr>
            <w:r>
              <w:rPr>
                <w:sz w:val="20"/>
                <w:szCs w:val="20"/>
              </w:rPr>
              <w:t xml:space="preserve">A manifest </w:t>
            </w:r>
            <w:r>
              <w:rPr>
                <w:b/>
                <w:bCs/>
                <w:color w:val="8C6D46"/>
                <w:sz w:val="20"/>
                <w:szCs w:val="20"/>
              </w:rPr>
              <w:t xml:space="preserve">MUST</w:t>
            </w:r>
            <w:r>
              <w:rPr>
                <w:sz w:val="20"/>
                <w:szCs w:val="20"/>
              </w:rPr>
              <w:t xml:space="preserve"> declare, for each of the twelve substrate domains, whether the package carries it in full, in part, or not at all. A domain declared partial or absent </w:t>
            </w:r>
            <w:r>
              <w:rPr>
                <w:b/>
                <w:bCs/>
                <w:color w:val="8C6D46"/>
                <w:sz w:val="20"/>
                <w:szCs w:val="20"/>
              </w:rPr>
              <w:t xml:space="preserve">MUST</w:t>
            </w:r>
            <w:r>
              <w:rPr>
                <w:sz w:val="20"/>
                <w:szCs w:val="20"/>
              </w:rPr>
              <w:t xml:space="preserve"> carry a reason code. Omitting a domain is a package validity failure, and no other conformance result is meaningful without it.</w:t>
            </w:r>
          </w:p>
        </w:tc>
      </w:tr>
    </w:tbl>
    <w:p>
      <w:pPr>
        <w:spacing w:after="120"/>
      </w:pPr>
      <w:r>
        <w:rPr>
          <w:sz w:val="2"/>
          <w:szCs w:val="2"/>
        </w:rPr>
        <w:t xml:space="preserve"/>
      </w:r>
    </w:p>
    <w:p>
      <w:pPr>
        <w:pStyle w:val="BodyCopy"/>
      </w:pPr>
      <w:r>
        <w:t xml:space="preserve">The twelve domains are </w:t>
      </w:r>
      <w:r>
        <w:rPr>
          <w:rFonts w:ascii="Consolas" w:cs="Consolas" w:eastAsia="Consolas" w:hAnsi="Consolas"/>
          <w:color w:val="1A1D21"/>
          <w:sz w:val="18"/>
          <w:szCs w:val="18"/>
          <w:shd w:fill="F2F1ED" w:color="auto" w:val="clear"/>
        </w:rPr>
        <w:t xml:space="preserve">identity</w:t>
      </w:r>
      <w:r>
        <w:t xml:space="preserve">, </w:t>
      </w:r>
      <w:r>
        <w:rPr>
          <w:rFonts w:ascii="Consolas" w:cs="Consolas" w:eastAsia="Consolas" w:hAnsi="Consolas"/>
          <w:color w:val="1A1D21"/>
          <w:sz w:val="18"/>
          <w:szCs w:val="18"/>
          <w:shd w:fill="F2F1ED" w:color="auto" w:val="clear"/>
        </w:rPr>
        <w:t xml:space="preserve">spaces</w:t>
      </w:r>
      <w:r>
        <w:t xml:space="preserve">, </w:t>
      </w:r>
      <w:r>
        <w:rPr>
          <w:rFonts w:ascii="Consolas" w:cs="Consolas" w:eastAsia="Consolas" w:hAnsi="Consolas"/>
          <w:color w:val="1A1D21"/>
          <w:sz w:val="18"/>
          <w:szCs w:val="18"/>
          <w:shd w:fill="F2F1ED" w:color="auto" w:val="clear"/>
        </w:rPr>
        <w:t xml:space="preserve">assets</w:t>
      </w:r>
      <w:r>
        <w:t xml:space="preserve">, </w:t>
      </w:r>
      <w:r>
        <w:rPr>
          <w:rFonts w:ascii="Consolas" w:cs="Consolas" w:eastAsia="Consolas" w:hAnsi="Consolas"/>
          <w:color w:val="1A1D21"/>
          <w:sz w:val="18"/>
          <w:szCs w:val="18"/>
          <w:shd w:fill="F2F1ED" w:color="auto" w:val="clear"/>
        </w:rPr>
        <w:t xml:space="preserve">points</w:t>
      </w:r>
      <w:r>
        <w:t xml:space="preserve">, </w:t>
      </w:r>
      <w:r>
        <w:rPr>
          <w:rFonts w:ascii="Consolas" w:cs="Consolas" w:eastAsia="Consolas" w:hAnsi="Consolas"/>
          <w:color w:val="1A1D21"/>
          <w:sz w:val="18"/>
          <w:szCs w:val="18"/>
          <w:shd w:fill="F2F1ED" w:color="auto" w:val="clear"/>
        </w:rPr>
        <w:t xml:space="preserve">relationships</w:t>
      </w:r>
      <w:r>
        <w:t xml:space="preserve">, </w:t>
      </w:r>
      <w:r>
        <w:rPr>
          <w:rFonts w:ascii="Consolas" w:cs="Consolas" w:eastAsia="Consolas" w:hAnsi="Consolas"/>
          <w:color w:val="1A1D21"/>
          <w:sz w:val="18"/>
          <w:szCs w:val="18"/>
          <w:shd w:fill="F2F1ED" w:color="auto" w:val="clear"/>
        </w:rPr>
        <w:t xml:space="preserve">intent</w:t>
      </w:r>
      <w:r>
        <w:t xml:space="preserve">, </w:t>
      </w:r>
      <w:r>
        <w:rPr>
          <w:rFonts w:ascii="Consolas" w:cs="Consolas" w:eastAsia="Consolas" w:hAnsi="Consolas"/>
          <w:color w:val="1A1D21"/>
          <w:sz w:val="18"/>
          <w:szCs w:val="18"/>
          <w:shd w:fill="F2F1ED" w:color="auto" w:val="clear"/>
        </w:rPr>
        <w:t xml:space="preserve">events</w:t>
      </w:r>
      <w:r>
        <w:t xml:space="preserve">, </w:t>
      </w:r>
      <w:r>
        <w:rPr>
          <w:rFonts w:ascii="Consolas" w:cs="Consolas" w:eastAsia="Consolas" w:hAnsi="Consolas"/>
          <w:color w:val="1A1D21"/>
          <w:sz w:val="18"/>
          <w:szCs w:val="18"/>
          <w:shd w:fill="F2F1ED" w:color="auto" w:val="clear"/>
        </w:rPr>
        <w:t xml:space="preserve">timeSeries</w:t>
      </w:r>
      <w:r>
        <w:t xml:space="preserve">, </w:t>
      </w:r>
      <w:r>
        <w:rPr>
          <w:rFonts w:ascii="Consolas" w:cs="Consolas" w:eastAsia="Consolas" w:hAnsi="Consolas"/>
          <w:color w:val="1A1D21"/>
          <w:sz w:val="18"/>
          <w:szCs w:val="18"/>
          <w:shd w:fill="F2F1ED" w:color="auto" w:val="clear"/>
        </w:rPr>
        <w:t xml:space="preserve">knowledge</w:t>
      </w:r>
      <w:r>
        <w:t xml:space="preserve">, </w:t>
      </w:r>
      <w:r>
        <w:rPr>
          <w:rFonts w:ascii="Consolas" w:cs="Consolas" w:eastAsia="Consolas" w:hAnsi="Consolas"/>
          <w:color w:val="1A1D21"/>
          <w:sz w:val="18"/>
          <w:szCs w:val="18"/>
          <w:shd w:fill="F2F1ED" w:color="auto" w:val="clear"/>
        </w:rPr>
        <w:t xml:space="preserve">resources</w:t>
      </w:r>
      <w:r>
        <w:t xml:space="preserve">, </w:t>
      </w:r>
      <w:r>
        <w:rPr>
          <w:rFonts w:ascii="Consolas" w:cs="Consolas" w:eastAsia="Consolas" w:hAnsi="Consolas"/>
          <w:color w:val="1A1D21"/>
          <w:sz w:val="18"/>
          <w:szCs w:val="18"/>
          <w:shd w:fill="F2F1ED" w:color="auto" w:val="clear"/>
        </w:rPr>
        <w:t xml:space="preserve">representation</w:t>
      </w:r>
      <w:r>
        <w:t xml:space="preserve">, and </w:t>
      </w:r>
      <w:r>
        <w:rPr>
          <w:rFonts w:ascii="Consolas" w:cs="Consolas" w:eastAsia="Consolas" w:hAnsi="Consolas"/>
          <w:color w:val="1A1D21"/>
          <w:sz w:val="18"/>
          <w:szCs w:val="18"/>
          <w:shd w:fill="F2F1ED" w:color="auto" w:val="clear"/>
        </w:rPr>
        <w:t xml:space="preserve">provenance</w:t>
      </w:r>
      <w:r>
        <w:t xml:space="preserve">.</w:t>
      </w:r>
    </w:p>
    <w:p>
      <w:pPr>
        <w:pStyle w:val="NoteCopy"/>
      </w:pPr>
      <w:r>
        <w:rPr>
          <w:b/>
          <w:bCs/>
          <w:color w:val="70757C"/>
          <w:sz w:val="18"/>
          <w:szCs w:val="18"/>
        </w:rPr>
        <w:t xml:space="preserve">NOTE </w:t>
      </w:r>
      <w:r>
        <w:rPr>
          <w:color w:val="70757C"/>
          <w:sz w:val="18"/>
          <w:szCs w:val="18"/>
        </w:rPr>
        <w:t xml:space="preserve">v0.1 had eleven. The </w:t>
      </w:r>
      <w:r>
        <w:rPr>
          <w:rFonts w:ascii="Consolas" w:cs="Consolas" w:eastAsia="Consolas" w:hAnsi="Consolas"/>
          <w:color w:val="1A1D21"/>
          <w:sz w:val="15"/>
          <w:szCs w:val="15"/>
          <w:shd w:fill="F2F1ED" w:color="auto" w:val="clear"/>
        </w:rPr>
        <w:t xml:space="preserve">history</w:t>
      </w:r>
      <w:r>
        <w:rPr>
          <w:color w:val="70757C"/>
          <w:sz w:val="18"/>
          <w:szCs w:val="18"/>
        </w:rPr>
        <w:t xml:space="preserve"> domain was split into </w:t>
      </w:r>
      <w:r>
        <w:rPr>
          <w:rFonts w:ascii="Consolas" w:cs="Consolas" w:eastAsia="Consolas" w:hAnsi="Consolas"/>
          <w:color w:val="1A1D21"/>
          <w:sz w:val="15"/>
          <w:szCs w:val="15"/>
          <w:shd w:fill="F2F1ED" w:color="auto" w:val="clear"/>
        </w:rPr>
        <w:t xml:space="preserve">events</w:t>
      </w:r>
      <w:r>
        <w:rPr>
          <w:color w:val="70757C"/>
          <w:sz w:val="18"/>
          <w:szCs w:val="18"/>
        </w:rPr>
        <w:t xml:space="preserve"> and </w:t>
      </w:r>
      <w:r>
        <w:rPr>
          <w:rFonts w:ascii="Consolas" w:cs="Consolas" w:eastAsia="Consolas" w:hAnsi="Consolas"/>
          <w:color w:val="1A1D21"/>
          <w:sz w:val="15"/>
          <w:szCs w:val="15"/>
          <w:shd w:fill="F2F1ED" w:color="auto" w:val="clear"/>
        </w:rPr>
        <w:t xml:space="preserve">timeSeries</w:t>
      </w:r>
      <w:r>
        <w:rPr>
          <w:color w:val="70757C"/>
          <w:sz w:val="18"/>
          <w:szCs w:val="18"/>
        </w:rPr>
        <w:t xml:space="preserve"> because events are now core and time series remain deferred; an exporter can therefore be complete on one and absent on the other, which is the honest statement.</w:t>
      </w:r>
    </w:p>
    <w:p>
      <w:pPr>
        <w:pStyle w:val="NoteCopy"/>
      </w:pPr>
      <w:r>
        <w:rPr>
          <w:b/>
          <w:bCs/>
          <w:color w:val="70757C"/>
          <w:sz w:val="18"/>
          <w:szCs w:val="18"/>
        </w:rPr>
        <w:t xml:space="preserve">NOTE </w:t>
      </w:r>
      <w:r>
        <w:rPr>
          <w:color w:val="70757C"/>
          <w:sz w:val="18"/>
          <w:szCs w:val="18"/>
        </w:rPr>
        <w:t xml:space="preserve">Document types map onto domains where the names differ: the </w:t>
      </w:r>
      <w:r>
        <w:rPr>
          <w:rFonts w:ascii="Consolas" w:cs="Consolas" w:eastAsia="Consolas" w:hAnsi="Consolas"/>
          <w:color w:val="1A1D21"/>
          <w:sz w:val="15"/>
          <w:szCs w:val="15"/>
          <w:shd w:fill="F2F1ED" w:color="auto" w:val="clear"/>
        </w:rPr>
        <w:t xml:space="preserve">alarms</w:t>
      </w:r>
      <w:r>
        <w:rPr>
          <w:color w:val="70757C"/>
          <w:sz w:val="18"/>
          <w:szCs w:val="18"/>
        </w:rPr>
        <w:t xml:space="preserve"> document declares under </w:t>
      </w:r>
      <w:r>
        <w:rPr>
          <w:rFonts w:ascii="Consolas" w:cs="Consolas" w:eastAsia="Consolas" w:hAnsi="Consolas"/>
          <w:color w:val="1A1D21"/>
          <w:sz w:val="15"/>
          <w:szCs w:val="15"/>
          <w:shd w:fill="F2F1ED" w:color="auto" w:val="clear"/>
        </w:rPr>
        <w:t xml:space="preserve">intent</w:t>
      </w:r>
      <w:r>
        <w:rPr>
          <w:color w:val="70757C"/>
          <w:sz w:val="18"/>
          <w:szCs w:val="18"/>
        </w:rPr>
        <w:t xml:space="preserve">, because alarm definitions are operational intent (11.1); the </w:t>
      </w:r>
      <w:r>
        <w:rPr>
          <w:rFonts w:ascii="Consolas" w:cs="Consolas" w:eastAsia="Consolas" w:hAnsi="Consolas"/>
          <w:color w:val="1A1D21"/>
          <w:sz w:val="15"/>
          <w:szCs w:val="15"/>
          <w:shd w:fill="F2F1ED" w:color="auto" w:val="clear"/>
        </w:rPr>
        <w:t xml:space="preserve">presentation</w:t>
      </w:r>
      <w:r>
        <w:rPr>
          <w:color w:val="70757C"/>
          <w:sz w:val="18"/>
          <w:szCs w:val="18"/>
        </w:rPr>
        <w:t xml:space="preserve"> document declares under </w:t>
      </w:r>
      <w:r>
        <w:rPr>
          <w:rFonts w:ascii="Consolas" w:cs="Consolas" w:eastAsia="Consolas" w:hAnsi="Consolas"/>
          <w:color w:val="1A1D21"/>
          <w:sz w:val="15"/>
          <w:szCs w:val="15"/>
          <w:shd w:fill="F2F1ED" w:color="auto" w:val="clear"/>
        </w:rPr>
        <w:t xml:space="preserve">representation</w:t>
      </w:r>
      <w:r>
        <w:rPr>
          <w:color w:val="70757C"/>
          <w:sz w:val="18"/>
          <w:szCs w:val="18"/>
        </w:rPr>
        <w:t xml:space="preserve">; and the </w:t>
      </w:r>
      <w:r>
        <w:rPr>
          <w:rFonts w:ascii="Consolas" w:cs="Consolas" w:eastAsia="Consolas" w:hAnsi="Consolas"/>
          <w:color w:val="1A1D21"/>
          <w:sz w:val="15"/>
          <w:szCs w:val="15"/>
          <w:shd w:fill="F2F1ED" w:color="auto" w:val="clear"/>
        </w:rPr>
        <w:t xml:space="preserve">properties</w:t>
      </w:r>
      <w:r>
        <w:rPr>
          <w:color w:val="70757C"/>
          <w:sz w:val="18"/>
          <w:szCs w:val="18"/>
        </w:rPr>
        <w:t xml:space="preserve"> and </w:t>
      </w:r>
      <w:r>
        <w:rPr>
          <w:rFonts w:ascii="Consolas" w:cs="Consolas" w:eastAsia="Consolas" w:hAnsi="Consolas"/>
          <w:color w:val="1A1D21"/>
          <w:sz w:val="15"/>
          <w:szCs w:val="15"/>
          <w:shd w:fill="F2F1ED" w:color="auto" w:val="clear"/>
        </w:rPr>
        <w:t xml:space="preserve">identityMap</w:t>
      </w:r>
      <w:r>
        <w:rPr>
          <w:color w:val="70757C"/>
          <w:sz w:val="18"/>
          <w:szCs w:val="18"/>
        </w:rPr>
        <w:t xml:space="preserve"> documents are infrastructure accompanying every profile rather than domains in their own right.</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2800"/>
        <w:gridCol w:w="6272"/>
      </w:tblGrid>
      <w:tr>
        <w:trPr>
          <w:cantSplit/>
          <w:tblHeader/>
        </w:trPr>
        <w:tc>
          <w:tcPr>
            <w:tcW w:type="dxa" w:w="28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Reason code</w:t>
            </w:r>
          </w:p>
        </w:tc>
        <w:tc>
          <w:tcPr>
            <w:tcW w:type="dxa" w:w="62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Meaning</w:t>
            </w:r>
          </w:p>
        </w:tc>
      </w:tr>
      <w:tr>
        <w:trPr>
          <w:cantSplit/>
        </w:trPr>
        <w:tc>
          <w:tcPr>
            <w:tcW w:type="dxa" w:w="28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notHeldBySystem</w:t>
            </w:r>
          </w:p>
        </w:tc>
        <w:tc>
          <w:tcPr>
            <w:tcW w:type="dxa" w:w="6272"/>
            <w:shd w:fill="FFFFFF" w:color="auto" w:val="clear"/>
            <w:tcMar>
              <w:top w:type="dxa" w:w="120"/>
              <w:left w:type="dxa" w:w="160"/>
              <w:bottom w:type="dxa" w:w="120"/>
              <w:right w:type="dxa" w:w="160"/>
            </w:tcMar>
            <w:vAlign w:val="top"/>
          </w:tcPr>
          <w:p>
            <w:pPr>
              <w:spacing w:after="0" w:line="260"/>
            </w:pPr>
            <w:r>
              <w:rPr>
                <w:sz w:val="18"/>
                <w:szCs w:val="18"/>
              </w:rPr>
              <w:t xml:space="preserve">The exporting system never held this. Not a limitation of the exporter.</w:t>
            </w:r>
          </w:p>
        </w:tc>
      </w:tr>
      <w:tr>
        <w:trPr>
          <w:cantSplit/>
        </w:trPr>
        <w:tc>
          <w:tcPr>
            <w:tcW w:type="dxa" w:w="28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notSupportedByExporter</w:t>
            </w:r>
          </w:p>
        </w:tc>
        <w:tc>
          <w:tcPr>
            <w:tcW w:type="dxa" w:w="6272"/>
            <w:shd w:fill="FAF9F6" w:color="auto" w:val="clear"/>
            <w:tcMar>
              <w:top w:type="dxa" w:w="120"/>
              <w:left w:type="dxa" w:w="160"/>
              <w:bottom w:type="dxa" w:w="120"/>
              <w:right w:type="dxa" w:w="160"/>
            </w:tcMar>
            <w:vAlign w:val="top"/>
          </w:tcPr>
          <w:p>
            <w:pPr>
              <w:spacing w:after="0" w:line="260"/>
            </w:pPr>
            <w:r>
              <w:rPr>
                <w:sz w:val="18"/>
                <w:szCs w:val="18"/>
              </w:rPr>
              <w:t xml:space="preserve">The system holds it; the export function does not carry it. The code an owner should read as a product gap.</w:t>
            </w:r>
          </w:p>
        </w:tc>
      </w:tr>
      <w:tr>
        <w:trPr>
          <w:cantSplit/>
        </w:trPr>
        <w:tc>
          <w:tcPr>
            <w:tcW w:type="dxa" w:w="28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deferredToLaterVersion</w:t>
            </w:r>
          </w:p>
        </w:tc>
        <w:tc>
          <w:tcPr>
            <w:tcW w:type="dxa" w:w="6272"/>
            <w:shd w:fill="FFFFFF" w:color="auto" w:val="clear"/>
            <w:tcMar>
              <w:top w:type="dxa" w:w="120"/>
              <w:left w:type="dxa" w:w="160"/>
              <w:bottom w:type="dxa" w:w="120"/>
              <w:right w:type="dxa" w:w="160"/>
            </w:tcMar>
            <w:vAlign w:val="top"/>
          </w:tcPr>
          <w:p>
            <w:pPr>
              <w:spacing w:after="0" w:line="260"/>
            </w:pPr>
            <w:r>
              <w:rPr>
                <w:sz w:val="18"/>
                <w:szCs w:val="18"/>
              </w:rPr>
              <w:t xml:space="preserve">This version of the standard does not specify the domain.</w:t>
            </w:r>
          </w:p>
        </w:tc>
      </w:tr>
      <w:tr>
        <w:trPr>
          <w:cantSplit/>
        </w:trPr>
        <w:tc>
          <w:tcPr>
            <w:tcW w:type="dxa" w:w="28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excludedByOwner</w:t>
            </w:r>
          </w:p>
        </w:tc>
        <w:tc>
          <w:tcPr>
            <w:tcW w:type="dxa" w:w="6272"/>
            <w:shd w:fill="FAF9F6" w:color="auto" w:val="clear"/>
            <w:tcMar>
              <w:top w:type="dxa" w:w="120"/>
              <w:left w:type="dxa" w:w="160"/>
              <w:bottom w:type="dxa" w:w="120"/>
              <w:right w:type="dxa" w:w="160"/>
            </w:tcMar>
            <w:vAlign w:val="top"/>
          </w:tcPr>
          <w:p>
            <w:pPr>
              <w:spacing w:after="0" w:line="260"/>
            </w:pPr>
            <w:r>
              <w:rPr>
                <w:sz w:val="18"/>
                <w:szCs w:val="18"/>
              </w:rPr>
              <w:t xml:space="preserve">Withheld at the owner’s instruction.</w:t>
            </w:r>
          </w:p>
        </w:tc>
      </w:tr>
      <w:tr>
        <w:trPr>
          <w:cantSplit/>
        </w:trPr>
        <w:tc>
          <w:tcPr>
            <w:tcW w:type="dxa" w:w="28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excludedForConfidentiality</w:t>
            </w:r>
          </w:p>
        </w:tc>
        <w:tc>
          <w:tcPr>
            <w:tcW w:type="dxa" w:w="6272"/>
            <w:shd w:fill="FFFFFF" w:color="auto" w:val="clear"/>
            <w:tcMar>
              <w:top w:type="dxa" w:w="120"/>
              <w:left w:type="dxa" w:w="160"/>
              <w:bottom w:type="dxa" w:w="120"/>
              <w:right w:type="dxa" w:w="160"/>
            </w:tcMar>
            <w:vAlign w:val="top"/>
          </w:tcPr>
          <w:p>
            <w:pPr>
              <w:spacing w:after="0" w:line="260"/>
            </w:pPr>
            <w:r>
              <w:rPr>
                <w:sz w:val="18"/>
                <w:szCs w:val="18"/>
              </w:rPr>
              <w:t xml:space="preserve">Withheld for confidentiality, including personal data. 19.3.</w:t>
            </w:r>
          </w:p>
        </w:tc>
      </w:tr>
      <w:tr>
        <w:trPr>
          <w:cantSplit/>
        </w:trPr>
        <w:tc>
          <w:tcPr>
            <w:tcW w:type="dxa" w:w="28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excludedForSafety</w:t>
            </w:r>
          </w:p>
        </w:tc>
        <w:tc>
          <w:tcPr>
            <w:tcW w:type="dxa" w:w="6272"/>
            <w:shd w:fill="FAF9F6" w:color="auto" w:val="clear"/>
            <w:tcMar>
              <w:top w:type="dxa" w:w="120"/>
              <w:left w:type="dxa" w:w="160"/>
              <w:bottom w:type="dxa" w:w="120"/>
              <w:right w:type="dxa" w:w="160"/>
            </w:tcMar>
            <w:vAlign w:val="top"/>
          </w:tcPr>
          <w:p>
            <w:pPr>
              <w:spacing w:after="0" w:line="260"/>
            </w:pPr>
            <w:r>
              <w:rPr>
                <w:sz w:val="18"/>
                <w:szCs w:val="18"/>
              </w:rPr>
              <w:t xml:space="preserve">Withheld because its disclosure would create operational risk. Typically actuation. 19.2.</w:t>
            </w:r>
          </w:p>
        </w:tc>
      </w:tr>
      <w:tr>
        <w:trPr>
          <w:cantSplit/>
        </w:trPr>
        <w:tc>
          <w:tcPr>
            <w:tcW w:type="dxa" w:w="28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excludedForSize</w:t>
            </w:r>
          </w:p>
        </w:tc>
        <w:tc>
          <w:tcPr>
            <w:tcW w:type="dxa" w:w="6272"/>
            <w:shd w:fill="FFFFFF" w:color="auto" w:val="clear"/>
            <w:tcMar>
              <w:top w:type="dxa" w:w="120"/>
              <w:left w:type="dxa" w:w="160"/>
              <w:bottom w:type="dxa" w:w="120"/>
              <w:right w:type="dxa" w:w="160"/>
            </w:tcMar>
            <w:vAlign w:val="top"/>
          </w:tcPr>
          <w:p>
            <w:pPr>
              <w:spacing w:after="0" w:line="260"/>
            </w:pPr>
            <w:r>
              <w:rPr>
                <w:sz w:val="18"/>
                <w:szCs w:val="18"/>
              </w:rPr>
              <w:t xml:space="preserve">Withheld for size, with the content available by another route.</w:t>
            </w:r>
          </w:p>
        </w:tc>
      </w:tr>
      <w:tr>
        <w:trPr>
          <w:cantSplit/>
        </w:trPr>
        <w:tc>
          <w:tcPr>
            <w:tcW w:type="dxa" w:w="28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other</w:t>
            </w:r>
          </w:p>
        </w:tc>
        <w:tc>
          <w:tcPr>
            <w:tcW w:type="dxa" w:w="6272"/>
            <w:shd w:fill="FAF9F6" w:color="auto" w:val="clear"/>
            <w:tcMar>
              <w:top w:type="dxa" w:w="120"/>
              <w:left w:type="dxa" w:w="160"/>
              <w:bottom w:type="dxa" w:w="120"/>
              <w:right w:type="dxa" w:w="160"/>
            </w:tcMar>
            <w:vAlign w:val="top"/>
          </w:tcPr>
          <w:p>
            <w:pPr>
              <w:spacing w:after="0" w:line="260"/>
            </w:pPr>
            <w:r>
              <w:rPr>
                <w:sz w:val="18"/>
                <w:szCs w:val="18"/>
              </w:rPr>
              <w:t xml:space="preserve">Anything else. A </w:t>
            </w:r>
            <w:r>
              <w:rPr>
                <w:rFonts w:ascii="Consolas" w:cs="Consolas" w:eastAsia="Consolas" w:hAnsi="Consolas"/>
                <w:color w:val="1A1D21"/>
                <w:sz w:val="15"/>
                <w:szCs w:val="15"/>
                <w:shd w:fill="F2F1ED" w:color="auto" w:val="clear"/>
              </w:rPr>
              <w:t xml:space="preserve">note</w:t>
            </w:r>
            <w:r>
              <w:rPr>
                <w:sz w:val="18"/>
                <w:szCs w:val="18"/>
              </w:rPr>
              <w:t xml:space="preserve"> is </w:t>
            </w:r>
            <w:r>
              <w:rPr>
                <w:b/>
                <w:bCs/>
                <w:color w:val="8C6D46"/>
                <w:sz w:val="18"/>
                <w:szCs w:val="18"/>
              </w:rPr>
              <w:t xml:space="preserve">REQUIRED</w:t>
            </w:r>
            <w:r>
              <w:rPr>
                <w:sz w:val="18"/>
                <w:szCs w:val="18"/>
              </w:rPr>
              <w:t xml:space="preserve">.</w:t>
            </w:r>
          </w:p>
        </w:tc>
      </w:tr>
    </w:tbl>
    <w:p>
      <w:pPr>
        <w:pStyle w:val="NoteCopy"/>
      </w:pPr>
      <w:r>
        <w:rPr>
          <w:b/>
          <w:bCs/>
          <w:color w:val="70757C"/>
          <w:sz w:val="18"/>
          <w:szCs w:val="18"/>
        </w:rPr>
        <w:t xml:space="preserve">NOTE </w:t>
      </w:r>
      <w:r>
        <w:rPr>
          <w:color w:val="70757C"/>
          <w:sz w:val="18"/>
          <w:szCs w:val="18"/>
        </w:rPr>
        <w:t xml:space="preserve">The declaration is deliberately uncomfortable to write. An exporter that cannot carry graphics must say so, in a fixed code, in a file the owner reads before purchase. That discomfort is the enforcement mechanism, since no technical measure can compel completeness.</w:t>
      </w:r>
    </w:p>
    <w:p>
      <w:pPr>
        <w:pStyle w:val="Heading2"/>
      </w:pPr>
      <w:r>
        <w:rPr>
          <w:color w:val="8C6D46"/>
        </w:rPr>
        <w:t xml:space="preserve">16.7</w:t>
      </w:r>
      <w:r>
        <w:t xml:space="preserve">  </w:t>
      </w:r>
      <w:r>
        <w:t xml:space="preserve">The actuation declaration</w:t>
      </w:r>
    </w:p>
    <w:p>
      <w:pPr>
        <w:spacing w:after="160" w:before="0"/>
      </w:pPr>
      <w:r>
        <w:rPr>
          <w:rFonts w:ascii="Calibri" w:cs="Calibri" w:eastAsia="Calibri" w:hAnsi="Calibri"/>
          <w:b/>
          <w:bCs/>
          <w:color w:val="8C6D46"/>
          <w:spacing w:val="40"/>
          <w:sz w:val="14"/>
          <w:szCs w:val="14"/>
        </w:rPr>
        <w:t xml:space="preserve">AGREED</w:t>
      </w:r>
      <w:r>
        <w:t xml:space="preserve">   </w:t>
      </w:r>
      <w:r>
        <w:rPr>
          <w:i/>
          <w:iCs/>
          <w:color w:val="70757C"/>
          <w:sz w:val="17"/>
          <w:szCs w:val="17"/>
        </w:rPr>
        <w:t xml:space="preserve">New in v0.2, following the decision that command actions travel.</w:t>
      </w:r>
    </w:p>
    <w:tbl>
      <w:tblPr>
        <w:tblW w:type="dxa" w:w="9072"/>
        <w:tblBorders>
          <w:top w:val="none" w:color="FFFFFF" w:sz="0"/>
          <w:left w:val="single" w:color="8C6D46" w:sz="24"/>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F5F3EE" w:color="auto" w:val="clear"/>
            <w:tcMar>
              <w:top w:type="dxa" w:w="200"/>
              <w:left w:type="dxa" w:w="260"/>
              <w:bottom w:type="dxa" w:w="200"/>
              <w:right w:type="dxa" w:w="260"/>
            </w:tcMar>
          </w:tcPr>
          <w:p>
            <w:pPr>
              <w:spacing w:after="80"/>
            </w:pPr>
            <w:r>
              <w:rPr>
                <w:rFonts w:ascii="Georgia" w:cs="Georgia" w:eastAsia="Georgia" w:hAnsi="Georgia"/>
                <w:b/>
                <w:bCs/>
                <w:color w:val="1A1D21"/>
                <w:sz w:val="22"/>
                <w:szCs w:val="22"/>
              </w:rPr>
              <w:t xml:space="preserve">Requirement 16.7-1</w:t>
            </w:r>
          </w:p>
          <w:p>
            <w:pPr>
              <w:spacing w:after="0" w:line="280"/>
            </w:pPr>
            <w:r>
              <w:rPr>
                <w:sz w:val="20"/>
                <w:szCs w:val="20"/>
              </w:rPr>
              <w:t xml:space="preserve">A manifest </w:t>
            </w:r>
            <w:r>
              <w:rPr>
                <w:b/>
                <w:bCs/>
                <w:color w:val="8C6D46"/>
                <w:sz w:val="20"/>
                <w:szCs w:val="20"/>
              </w:rPr>
              <w:t xml:space="preserve">MUST</w:t>
            </w:r>
            <w:r>
              <w:rPr>
                <w:sz w:val="20"/>
                <w:szCs w:val="20"/>
              </w:rPr>
              <w:t xml:space="preserve"> declare whether the package contains write bindings, and if so how many and at what highest priority. A package containing write bindings and declaring actuation absent is invalid (test PK-15).</w:t>
            </w:r>
          </w:p>
        </w:tc>
      </w:tr>
    </w:tbl>
    <w:p>
      <w:pPr>
        <w:spacing w:after="120"/>
      </w:pPr>
      <w:r>
        <w:rPr>
          <w:sz w:val="2"/>
          <w:szCs w:val="2"/>
        </w:rPr>
        <w:t xml:space="preserve"/>
      </w:r>
    </w:p>
    <w:tbl>
      <w:tblPr>
        <w:tblW w:type="dxa" w:w="9072"/>
        <w:tblBorders>
          <w:top w:val="none" w:color="FFFFFF" w:sz="0"/>
          <w:left w:val="single" w:color="D9D4C9" w:sz="12"/>
          <w:bottom w:val="none" w:color="FFFFFF" w:sz="0"/>
          <w:right w:val="none" w:color="FFFFFF" w:sz="0"/>
          <w:insideH w:val="none" w:color="FFFFFF" w:sz="0"/>
          <w:insideV w:val="none" w:color="FFFFFF" w:sz="0"/>
        </w:tblBorders>
        <w:tblLayout w:type="fixed"/>
      </w:tblPr>
      <w:tblGrid>
        <w:gridCol w:w="9072"/>
      </w:tblGrid>
      <w:tr>
        <w:trPr>
          <w:cantSplit w:val="false"/>
        </w:trPr>
        <w:tc>
          <w:tcPr>
            <w:tcW w:type="dxa" w:w="9072"/>
            <w:shd w:fill="F2F1ED" w:color="auto" w:val="clear"/>
            <w:tcMar>
              <w:top w:type="dxa" w:w="160"/>
              <w:left w:type="dxa" w:w="220"/>
              <w:bottom w:type="dxa" w:w="160"/>
              <w:right w:type="dxa" w:w="200"/>
            </w:tcMar>
          </w:tcPr>
          <w:p>
            <w:pPr>
              <w:spacing w:after="20" w:line="240"/>
            </w:pPr>
            <w:r>
              <w:rPr>
                <w:rFonts w:ascii="Consolas" w:cs="Consolas" w:eastAsia="Consolas" w:hAnsi="Consolas"/>
                <w:color w:val="1A1D21"/>
                <w:sz w:val="16"/>
                <w:szCs w:val="16"/>
              </w:rPr>
              <w:t xml:space="preserve">"actuation": {</w:t>
            </w:r>
          </w:p>
          <w:p>
            <w:pPr>
              <w:spacing w:after="20" w:line="240"/>
            </w:pPr>
            <w:r>
              <w:rPr>
                <w:rFonts w:ascii="Consolas" w:cs="Consolas" w:eastAsia="Consolas" w:hAnsi="Consolas"/>
                <w:color w:val="1A1D21"/>
                <w:sz w:val="16"/>
                <w:szCs w:val="16"/>
              </w:rPr>
              <w:t xml:space="preserve">  "present": true,</w:t>
            </w:r>
          </w:p>
          <w:p>
            <w:pPr>
              <w:spacing w:after="20" w:line="240"/>
            </w:pPr>
            <w:r>
              <w:rPr>
                <w:rFonts w:ascii="Consolas" w:cs="Consolas" w:eastAsia="Consolas" w:hAnsi="Consolas"/>
                <w:color w:val="1A1D21"/>
                <w:sz w:val="16"/>
                <w:szCs w:val="16"/>
              </w:rPr>
              <w:t xml:space="preserve">  "bindingCount": 2,</w:t>
            </w:r>
          </w:p>
          <w:p>
            <w:pPr>
              <w:spacing w:after="20" w:line="240"/>
            </w:pPr>
            <w:r>
              <w:rPr>
                <w:rFonts w:ascii="Consolas" w:cs="Consolas" w:eastAsia="Consolas" w:hAnsi="Consolas"/>
                <w:color w:val="1A1D21"/>
                <w:sz w:val="16"/>
                <w:szCs w:val="16"/>
              </w:rPr>
              <w:t xml:space="preserve">  "highestPriority": 8,</w:t>
            </w:r>
          </w:p>
          <w:p>
            <w:pPr>
              <w:spacing w:after="20" w:line="240"/>
            </w:pPr>
            <w:r>
              <w:rPr>
                <w:rFonts w:ascii="Consolas" w:cs="Consolas" w:eastAsia="Consolas" w:hAnsi="Consolas"/>
                <w:color w:val="1A1D21"/>
                <w:sz w:val="16"/>
                <w:szCs w:val="16"/>
              </w:rPr>
              <w:t xml:space="preserve">  "note": "Supply air setpoint at priority 10 and supply fan command at priority 8.</w:t>
            </w:r>
          </w:p>
          <w:p>
            <w:pPr>
              <w:spacing w:after="20" w:line="240"/>
            </w:pPr>
            <w:r>
              <w:rPr>
                <w:rFonts w:ascii="Consolas" w:cs="Consolas" w:eastAsia="Consolas" w:hAnsi="Consolas"/>
                <w:color w:val="1A1D21"/>
                <w:sz w:val="16"/>
                <w:szCs w:val="16"/>
              </w:rPr>
              <w:t xml:space="preserve">           Both require confirmation. The fan command is interlocked against the</w:t>
            </w:r>
          </w:p>
          <w:p>
            <w:pPr>
              <w:spacing w:after="20" w:line="240"/>
            </w:pPr>
            <w:r>
              <w:rPr>
                <w:rFonts w:ascii="Consolas" w:cs="Consolas" w:eastAsia="Consolas" w:hAnsi="Consolas"/>
                <w:color w:val="1A1D21"/>
                <w:sz w:val="16"/>
                <w:szCs w:val="16"/>
              </w:rPr>
              <w:t xml:space="preserve">           Level 2 fire alarm zone."</w:t>
            </w:r>
          </w:p>
          <w:p>
            <w:pPr>
              <w:spacing w:after="0" w:line="240"/>
            </w:pPr>
            <w:r>
              <w:rPr>
                <w:rFonts w:ascii="Consolas" w:cs="Consolas" w:eastAsia="Consolas" w:hAnsi="Consolas"/>
                <w:color w:val="1A1D21"/>
                <w:sz w:val="16"/>
                <w:szCs w:val="16"/>
              </w:rPr>
              <w:t xml:space="preserve">}</w:t>
            </w:r>
          </w:p>
        </w:tc>
      </w:tr>
    </w:tbl>
    <w:p>
      <w:pPr>
        <w:pStyle w:val="BodyCopy"/>
      </w:pPr>
      <w:r>
        <w:t xml:space="preserve">The declaration exists so that a recipient knows what they are holding before they open the model. A package with actuation is not an ordinary document, and the difference should not have to be discovered by reading thirteen thousand entities.</w:t>
      </w:r>
    </w:p>
    <w:p>
      <w:pPr>
        <w:pStyle w:val="Heading2"/>
      </w:pPr>
      <w:r>
        <w:rPr>
          <w:color w:val="8C6D46"/>
        </w:rPr>
        <w:t xml:space="preserve">16.8</w:t>
      </w:r>
      <w:r>
        <w:t xml:space="preserve">  </w:t>
      </w:r>
      <w:r>
        <w:t xml:space="preserve">Dictionaries</w:t>
      </w:r>
    </w:p>
    <w:p>
      <w:pPr>
        <w:spacing w:after="160" w:before="0"/>
      </w:pPr>
      <w:r>
        <w:rPr>
          <w:rFonts w:ascii="Calibri" w:cs="Calibri" w:eastAsia="Calibri" w:hAnsi="Calibri"/>
          <w:b/>
          <w:bCs/>
          <w:color w:val="8C6D46"/>
          <w:spacing w:val="40"/>
          <w:sz w:val="14"/>
          <w:szCs w:val="14"/>
        </w:rPr>
        <w:t xml:space="preserve">PROVISIONAL</w:t>
      </w:r>
    </w:p>
    <w:p>
      <w:pPr>
        <w:pStyle w:val="BodyCopy"/>
      </w:pPr>
      <w:r>
        <w:t xml:space="preserve">A package </w:t>
      </w:r>
      <w:r>
        <w:rPr>
          <w:b/>
          <w:bCs/>
          <w:color w:val="8C6D46"/>
        </w:rPr>
        <w:t xml:space="preserve">MAY</w:t>
      </w:r>
      <w:r>
        <w:t xml:space="preserve"> carry dictionaries that replace repeated strings — entity types, predicates, property definition identifiers, units, classifications, symbol roles, entity identifiers — with compact tokens. Where present they </w:t>
      </w:r>
      <w:r>
        <w:rPr>
          <w:b/>
          <w:bCs/>
          <w:color w:val="8C6D46"/>
        </w:rPr>
        <w:t xml:space="preserve">MUST</w:t>
      </w:r>
      <w:r>
        <w:t xml:space="preserve"> be declared in the manifest, and a conforming importer </w:t>
      </w:r>
      <w:r>
        <w:rPr>
          <w:b/>
          <w:bCs/>
          <w:color w:val="8C6D46"/>
        </w:rPr>
        <w:t xml:space="preserve">MUST</w:t>
      </w:r>
      <w:r>
        <w:t xml:space="preserve"> be able to expand every dictionary declared.</w:t>
      </w:r>
    </w:p>
    <w:p>
      <w:pPr>
        <w:pStyle w:val="BodyCopy"/>
      </w:pPr>
      <w:r>
        <w:t xml:space="preserve">Canonical JSON remains the form against which conformance is measured (17.5). The model must never become hostage to a compression scheme.</w:t>
      </w:r>
    </w:p>
    <w:p>
      <w:pPr>
        <w:pStyle w:val="NoteCopy"/>
      </w:pPr>
      <w:r>
        <w:rPr>
          <w:b/>
          <w:bCs/>
          <w:color w:val="70757C"/>
          <w:sz w:val="18"/>
          <w:szCs w:val="18"/>
        </w:rPr>
        <w:t xml:space="preserve">NOTE </w:t>
      </w:r>
      <w:r>
        <w:rPr>
          <w:color w:val="70757C"/>
          <w:sz w:val="18"/>
          <w:szCs w:val="18"/>
        </w:rPr>
        <w:t xml:space="preserve">The volume driver in a graphics-bearing package is bindings, not points: thousands of near-identical records differing only in a target identifier. That is the ideal case for dictionary coding, and it is the reason dictionaries appear at all. The compact wire format itself is open; see Annex E.</w:t>
      </w:r>
    </w:p>
    <w:p>
      <w:pPr>
        <w:pStyle w:val="Heading2"/>
      </w:pPr>
      <w:r>
        <w:rPr>
          <w:color w:val="8C6D46"/>
        </w:rPr>
        <w:t xml:space="preserve">16.9</w:t>
      </w:r>
      <w:r>
        <w:t xml:space="preserve">  </w:t>
      </w:r>
      <w:r>
        <w:t xml:space="preserve">Package chaining</w:t>
      </w:r>
    </w:p>
    <w:p>
      <w:pPr>
        <w:pStyle w:val="BodyCopy"/>
      </w:pPr>
      <w:r>
        <w:t xml:space="preserve">A package </w:t>
      </w:r>
      <w:r>
        <w:rPr>
          <w:b/>
          <w:bCs/>
          <w:color w:val="8C6D46"/>
        </w:rPr>
        <w:t xml:space="preserve">SHOULD</w:t>
      </w:r>
      <w:r>
        <w:t xml:space="preserve"> carry a </w:t>
      </w:r>
      <w:r>
        <w:rPr>
          <w:rFonts w:ascii="Consolas" w:cs="Consolas" w:eastAsia="Consolas" w:hAnsi="Consolas"/>
          <w:color w:val="1A1D21"/>
          <w:sz w:val="18"/>
          <w:szCs w:val="18"/>
          <w:shd w:fill="F2F1ED" w:color="auto" w:val="clear"/>
        </w:rPr>
        <w:t xml:space="preserve">predecessor</w:t>
      </w:r>
      <w:r>
        <w:t xml:space="preserve"> naming the identifier, digest, and creation time of the package it succeeds. Over several transfers this forms a chain of custody: an owner can demonstrate what was handed over, by whom, and when, without depending on any party in the chain still existing.</w:t>
      </w:r>
    </w:p>
    <w:p>
      <w:pPr>
        <w:pStyle w:val="Heading1"/>
      </w:pPr>
      <w:r>
        <w:rPr>
          <w:rFonts w:ascii="Georgia" w:cs="Georgia" w:eastAsia="Georgia" w:hAnsi="Georgia"/>
          <w:color w:val="8C6D46"/>
        </w:rPr>
        <w:t xml:space="preserve">17</w:t>
      </w:r>
      <w:r>
        <w:t xml:space="preserve">  </w:t>
      </w:r>
      <w:r>
        <w:t xml:space="preserve">The JSON binding</w:t>
      </w:r>
    </w:p>
    <w:p>
      <w:pPr>
        <w:spacing w:after="160" w:before="0"/>
      </w:pPr>
      <w:r>
        <w:rPr>
          <w:rFonts w:ascii="Calibri" w:cs="Calibri" w:eastAsia="Calibri" w:hAnsi="Calibri"/>
          <w:b/>
          <w:bCs/>
          <w:color w:val="8C6D46"/>
          <w:spacing w:val="40"/>
          <w:sz w:val="14"/>
          <w:szCs w:val="14"/>
        </w:rPr>
        <w:t xml:space="preserve">AGREED</w:t>
      </w:r>
    </w:p>
    <w:p>
      <w:pPr>
        <w:pStyle w:val="Heading2"/>
      </w:pPr>
      <w:r>
        <w:rPr>
          <w:color w:val="8C6D46"/>
        </w:rPr>
        <w:t xml:space="preserve">17.1</w:t>
      </w:r>
      <w:r>
        <w:t xml:space="preserve">  </w:t>
      </w:r>
      <w:r>
        <w:t xml:space="preserve">Status</w:t>
      </w:r>
    </w:p>
    <w:p>
      <w:pPr>
        <w:pStyle w:val="BodyCopy"/>
      </w:pPr>
      <w:r>
        <w:t xml:space="preserve">This clause defines the first normative binding. Additional bindings </w:t>
      </w:r>
      <w:r>
        <w:rPr>
          <w:b/>
          <w:bCs/>
          <w:color w:val="8C6D46"/>
        </w:rPr>
        <w:t xml:space="preserve">MAY</w:t>
      </w:r>
      <w:r>
        <w:t xml:space="preserve"> be defined later; an RDF binding is anticipated. A conformance claim </w:t>
      </w:r>
      <w:r>
        <w:rPr>
          <w:b/>
          <w:bCs/>
          <w:color w:val="8C6D46"/>
        </w:rPr>
        <w:t xml:space="preserve">MUST</w:t>
      </w:r>
      <w:r>
        <w:t xml:space="preserve"> name the binding it was tested against. Documents are JSON per [RFC8259], UTF-8, no byte order mark.</w:t>
      </w:r>
    </w:p>
    <w:p>
      <w:pPr>
        <w:pStyle w:val="Heading2"/>
      </w:pPr>
      <w:r>
        <w:rPr>
          <w:color w:val="8C6D46"/>
        </w:rPr>
        <w:t xml:space="preserve">17.2</w:t>
      </w:r>
      <w:r>
        <w:t xml:space="preserve">  </w:t>
      </w:r>
      <w:r>
        <w:t xml:space="preserve">The document envelope</w:t>
      </w:r>
    </w:p>
    <w:tbl>
      <w:tblPr>
        <w:tblW w:type="dxa" w:w="9072"/>
        <w:tblBorders>
          <w:top w:val="none" w:color="FFFFFF" w:sz="0"/>
          <w:left w:val="single" w:color="D9D4C9" w:sz="12"/>
          <w:bottom w:val="none" w:color="FFFFFF" w:sz="0"/>
          <w:right w:val="none" w:color="FFFFFF" w:sz="0"/>
          <w:insideH w:val="none" w:color="FFFFFF" w:sz="0"/>
          <w:insideV w:val="none" w:color="FFFFFF" w:sz="0"/>
        </w:tblBorders>
        <w:tblLayout w:type="fixed"/>
      </w:tblPr>
      <w:tblGrid>
        <w:gridCol w:w="9072"/>
      </w:tblGrid>
      <w:tr>
        <w:trPr>
          <w:cantSplit w:val="false"/>
        </w:trPr>
        <w:tc>
          <w:tcPr>
            <w:tcW w:type="dxa" w:w="9072"/>
            <w:shd w:fill="F2F1ED" w:color="auto" w:val="clear"/>
            <w:tcMar>
              <w:top w:type="dxa" w:w="160"/>
              <w:left w:type="dxa" w:w="220"/>
              <w:bottom w:type="dxa" w:w="160"/>
              <w:right w:type="dxa" w:w="200"/>
            </w:tcMar>
          </w:tcPr>
          <w:p>
            <w:pPr>
              <w:spacing w:after="20" w:line="240"/>
            </w:pPr>
            <w:r>
              <w:rPr>
                <w:rFonts w:ascii="Consolas" w:cs="Consolas" w:eastAsia="Consolas" w:hAnsi="Consolas"/>
                <w:color w:val="1A1D21"/>
                <w:sz w:val="16"/>
                <w:szCs w:val="16"/>
              </w:rPr>
              <w:t xml:space="preserve">{ "busVersion": "0.2",</w:t>
            </w:r>
          </w:p>
          <w:p>
            <w:pPr>
              <w:spacing w:after="20" w:line="240"/>
            </w:pPr>
            <w:r>
              <w:rPr>
                <w:rFonts w:ascii="Consolas" w:cs="Consolas" w:eastAsia="Consolas" w:hAnsi="Consolas"/>
                <w:color w:val="1A1D21"/>
                <w:sz w:val="16"/>
                <w:szCs w:val="16"/>
              </w:rPr>
              <w:t xml:space="preserve">  "documentType": "presentation",</w:t>
            </w:r>
          </w:p>
          <w:p>
            <w:pPr>
              <w:spacing w:after="20" w:line="240"/>
            </w:pPr>
            <w:r>
              <w:rPr>
                <w:rFonts w:ascii="Consolas" w:cs="Consolas" w:eastAsia="Consolas" w:hAnsi="Consolas"/>
                <w:color w:val="1A1D21"/>
                <w:sz w:val="16"/>
                <w:szCs w:val="16"/>
              </w:rPr>
              <w:t xml:space="preserve">  "packageId": "urn:uuid:...",</w:t>
            </w:r>
          </w:p>
          <w:p>
            <w:pPr>
              <w:spacing w:after="20" w:line="240"/>
            </w:pPr>
            <w:r>
              <w:rPr>
                <w:rFonts w:ascii="Consolas" w:cs="Consolas" w:eastAsia="Consolas" w:hAnsi="Consolas"/>
                <w:color w:val="1A1D21"/>
                <w:sz w:val="16"/>
                <w:szCs w:val="16"/>
              </w:rPr>
              <w:t xml:space="preserve">  "generatedAt": "2026-07-26T09:15:00-05:00[America/Chicago]",</w:t>
            </w:r>
          </w:p>
          <w:p>
            <w:pPr>
              <w:spacing w:after="20" w:line="240"/>
            </w:pPr>
            <w:r>
              <w:rPr>
                <w:rFonts w:ascii="Consolas" w:cs="Consolas" w:eastAsia="Consolas" w:hAnsi="Consolas"/>
                <w:color w:val="1A1D21"/>
                <w:sz w:val="16"/>
                <w:szCs w:val="16"/>
              </w:rPr>
              <w:t xml:space="preserve">  "namespaces": { "ex": "https://example.com/bus-ext/v1" },</w:t>
            </w:r>
          </w:p>
          <w:p>
            <w:pPr>
              <w:spacing w:after="0" w:line="240"/>
            </w:pPr>
            <w:r>
              <w:rPr>
                <w:rFonts w:ascii="Consolas" w:cs="Consolas" w:eastAsia="Consolas" w:hAnsi="Consolas"/>
                <w:color w:val="1A1D21"/>
                <w:sz w:val="16"/>
                <w:szCs w:val="16"/>
              </w:rPr>
              <w:t xml:space="preserve">  "entities": [ ... ] }</w:t>
            </w:r>
          </w:p>
        </w:tc>
      </w:tr>
    </w:tbl>
    <w:p>
      <w:pPr>
        <w:pStyle w:val="BodyCopy"/>
      </w:pPr>
      <w:r>
        <w:rPr>
          <w:rFonts w:ascii="Consolas" w:cs="Consolas" w:eastAsia="Consolas" w:hAnsi="Consolas"/>
          <w:color w:val="1A1D21"/>
          <w:sz w:val="18"/>
          <w:szCs w:val="18"/>
          <w:shd w:fill="F2F1ED" w:color="auto" w:val="clear"/>
        </w:rPr>
        <w:t xml:space="preserve">documentType</w:t>
      </w:r>
      <w:r>
        <w:t xml:space="preserve"> </w:t>
      </w:r>
      <w:r>
        <w:rPr>
          <w:b/>
          <w:bCs/>
          <w:color w:val="8C6D46"/>
        </w:rPr>
        <w:t xml:space="preserve">MUST</w:t>
      </w:r>
      <w:r>
        <w:t xml:space="preserve"> match the type declared for that path in the manifest. Entity order within the array is NOT significant and </w:t>
      </w:r>
      <w:r>
        <w:rPr>
          <w:b/>
          <w:bCs/>
          <w:color w:val="8C6D46"/>
        </w:rPr>
        <w:t xml:space="preserve">MUST NOT</w:t>
      </w:r>
      <w:r>
        <w:t xml:space="preserve"> be relied upon.</w:t>
      </w:r>
    </w:p>
    <w:p>
      <w:pPr>
        <w:pStyle w:val="Heading2"/>
      </w:pPr>
      <w:r>
        <w:rPr>
          <w:color w:val="8C6D46"/>
        </w:rPr>
        <w:t xml:space="preserve">17.3</w:t>
      </w:r>
      <w:r>
        <w:t xml:space="preserve">  </w:t>
      </w:r>
      <w:r>
        <w:t xml:space="preserve">Naming and encoding rules</w:t>
      </w:r>
    </w:p>
    <w:p>
      <w:pPr>
        <w:pStyle w:val="BulletCopy"/>
        <w:numPr>
          <w:ilvl w:val="0"/>
          <w:numId w:val="2"/>
        </w:numPr>
      </w:pPr>
      <w:r>
        <w:t xml:space="preserve">Property names are lowerCamelCase and case-sensitive.</w:t>
      </w:r>
    </w:p>
    <w:p>
      <w:pPr>
        <w:pStyle w:val="BulletCopy"/>
        <w:numPr>
          <w:ilvl w:val="0"/>
          <w:numId w:val="2"/>
        </w:numPr>
      </w:pPr>
      <w:r>
        <w:t xml:space="preserve">Class names are UpperCamelCase and always prefixed. Predicates are lowerCamelCase and always prefixed.</w:t>
      </w:r>
    </w:p>
    <w:p>
      <w:pPr>
        <w:pStyle w:val="BulletCopy"/>
        <w:numPr>
          <w:ilvl w:val="0"/>
          <w:numId w:val="2"/>
        </w:numPr>
      </w:pPr>
      <w:r>
        <w:t xml:space="preserve">Symbol roles are lowerCamelCase segments separated by dots.</w:t>
      </w:r>
    </w:p>
    <w:p>
      <w:pPr>
        <w:pStyle w:val="BulletCopy"/>
        <w:numPr>
          <w:ilvl w:val="0"/>
          <w:numId w:val="2"/>
        </w:numPr>
      </w:pPr>
      <w:r>
        <w:t xml:space="preserve">A property whose value is unknown </w:t>
      </w:r>
      <w:r>
        <w:rPr>
          <w:b/>
          <w:bCs/>
          <w:color w:val="8C6D46"/>
        </w:rPr>
        <w:t xml:space="preserve">MUST</w:t>
      </w:r>
      <w:r>
        <w:t xml:space="preserve"> be omitted. An explicit </w:t>
      </w:r>
      <w:r>
        <w:rPr>
          <w:rFonts w:ascii="Consolas" w:cs="Consolas" w:eastAsia="Consolas" w:hAnsi="Consolas"/>
          <w:color w:val="1A1D21"/>
          <w:sz w:val="18"/>
          <w:szCs w:val="18"/>
          <w:shd w:fill="F2F1ED" w:color="auto" w:val="clear"/>
        </w:rPr>
        <w:t xml:space="preserve">null</w:t>
      </w:r>
      <w:r>
        <w:t xml:space="preserve"> asserts the value is known to be absent, which is a different statement and </w:t>
      </w:r>
      <w:r>
        <w:rPr>
          <w:b/>
          <w:bCs/>
          <w:color w:val="8C6D46"/>
        </w:rPr>
        <w:t xml:space="preserve">MUST NOT</w:t>
      </w:r>
      <w:r>
        <w:t xml:space="preserve"> be used to mean unknown.</w:t>
      </w:r>
    </w:p>
    <w:p>
      <w:pPr>
        <w:pStyle w:val="BulletCopy"/>
        <w:numPr>
          <w:ilvl w:val="0"/>
          <w:numId w:val="2"/>
        </w:numPr>
      </w:pPr>
      <w:r>
        <w:t xml:space="preserve">An empty array asserts the collection is known to be empty. Where that is not the intent, omit the property.</w:t>
      </w:r>
    </w:p>
    <w:p>
      <w:pPr>
        <w:pStyle w:val="BodyCopy"/>
      </w:pPr>
      <w:r>
        <w:t xml:space="preserve">The distinction between omission and </w:t>
      </w:r>
      <w:r>
        <w:rPr>
          <w:rFonts w:ascii="Consolas" w:cs="Consolas" w:eastAsia="Consolas" w:hAnsi="Consolas"/>
          <w:color w:val="1A1D21"/>
          <w:sz w:val="18"/>
          <w:szCs w:val="18"/>
          <w:shd w:fill="F2F1ED" w:color="auto" w:val="clear"/>
        </w:rPr>
        <w:t xml:space="preserve">null</w:t>
      </w:r>
      <w:r>
        <w:t xml:space="preserve"> is not pedantry. In a model read by people who cannot ask the author what they meant, the difference between "we did not record this" and "there is none" is frequently the whole content of the field.</w:t>
      </w:r>
    </w:p>
    <w:p>
      <w:pPr>
        <w:pStyle w:val="Heading2"/>
      </w:pPr>
      <w:r>
        <w:rPr>
          <w:color w:val="8C6D46"/>
        </w:rPr>
        <w:t xml:space="preserve">17.4</w:t>
      </w:r>
      <w:r>
        <w:t xml:space="preserve">  </w:t>
      </w:r>
      <w:r>
        <w:t xml:space="preserve">Schema validation</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3000"/>
        <w:gridCol w:w="6072"/>
      </w:tblGrid>
      <w:tr>
        <w:trPr>
          <w:cantSplit/>
          <w:tblHeader/>
        </w:trPr>
        <w:tc>
          <w:tcPr>
            <w:tcW w:type="dxa" w:w="30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Schema</w:t>
            </w:r>
          </w:p>
        </w:tc>
        <w:tc>
          <w:tcPr>
            <w:tcW w:type="dxa" w:w="60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Validates</w:t>
            </w:r>
          </w:p>
        </w:tc>
      </w:tr>
      <w:tr>
        <w:trPr>
          <w:cantSplit/>
        </w:trPr>
        <w:tc>
          <w:tcPr>
            <w:tcW w:type="dxa" w:w="30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bus-core.schema.json</w:t>
            </w:r>
          </w:p>
        </w:tc>
        <w:tc>
          <w:tcPr>
            <w:tcW w:type="dxa" w:w="6072"/>
            <w:shd w:fill="FFFFFF" w:color="auto" w:val="clear"/>
            <w:tcMar>
              <w:top w:type="dxa" w:w="120"/>
              <w:left w:type="dxa" w:w="160"/>
              <w:bottom w:type="dxa" w:w="120"/>
              <w:right w:type="dxa" w:w="160"/>
            </w:tcMar>
            <w:vAlign w:val="top"/>
          </w:tcPr>
          <w:p>
            <w:pPr>
              <w:spacing w:after="0" w:line="260"/>
            </w:pPr>
            <w:r>
              <w:rPr>
                <w:sz w:val="18"/>
                <w:szCs w:val="18"/>
              </w:rPr>
              <w:t xml:space="preserve">Datatypes, the entity base, and every core class including the presentation model.</w:t>
            </w:r>
          </w:p>
        </w:tc>
      </w:tr>
      <w:tr>
        <w:trPr>
          <w:cantSplit/>
        </w:trPr>
        <w:tc>
          <w:tcPr>
            <w:tcW w:type="dxa" w:w="30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bus-document.schema.json</w:t>
            </w:r>
          </w:p>
        </w:tc>
        <w:tc>
          <w:tcPr>
            <w:tcW w:type="dxa" w:w="6072"/>
            <w:shd w:fill="FAF9F6" w:color="auto" w:val="clear"/>
            <w:tcMar>
              <w:top w:type="dxa" w:w="120"/>
              <w:left w:type="dxa" w:w="160"/>
              <w:bottom w:type="dxa" w:w="120"/>
              <w:right w:type="dxa" w:w="160"/>
            </w:tcMar>
            <w:vAlign w:val="top"/>
          </w:tcPr>
          <w:p>
            <w:pPr>
              <w:spacing w:after="0" w:line="260"/>
            </w:pPr>
            <w:r>
              <w:rPr>
                <w:sz w:val="18"/>
                <w:szCs w:val="18"/>
              </w:rPr>
              <w:t xml:space="preserve">The document envelope and the classes permitted for each </w:t>
            </w:r>
            <w:r>
              <w:rPr>
                <w:rFonts w:ascii="Consolas" w:cs="Consolas" w:eastAsia="Consolas" w:hAnsi="Consolas"/>
                <w:color w:val="1A1D21"/>
                <w:sz w:val="15"/>
                <w:szCs w:val="15"/>
                <w:shd w:fill="F2F1ED" w:color="auto" w:val="clear"/>
              </w:rPr>
              <w:t xml:space="preserve">documentType</w:t>
            </w:r>
            <w:r>
              <w:rPr>
                <w:sz w:val="18"/>
                <w:szCs w:val="18"/>
              </w:rPr>
              <w:t xml:space="preserve">.</w:t>
            </w:r>
          </w:p>
        </w:tc>
      </w:tr>
      <w:tr>
        <w:trPr>
          <w:cantSplit/>
        </w:trPr>
        <w:tc>
          <w:tcPr>
            <w:tcW w:type="dxa" w:w="30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bus-manifest.schema.json</w:t>
            </w:r>
          </w:p>
        </w:tc>
        <w:tc>
          <w:tcPr>
            <w:tcW w:type="dxa" w:w="6072"/>
            <w:shd w:fill="FFFFFF" w:color="auto" w:val="clear"/>
            <w:tcMar>
              <w:top w:type="dxa" w:w="120"/>
              <w:left w:type="dxa" w:w="160"/>
              <w:bottom w:type="dxa" w:w="120"/>
              <w:right w:type="dxa" w:w="160"/>
            </w:tcMar>
            <w:vAlign w:val="top"/>
          </w:tcPr>
          <w:p>
            <w:pPr>
              <w:spacing w:after="0" w:line="260"/>
            </w:pPr>
            <w:r>
              <w:rPr>
                <w:sz w:val="18"/>
                <w:szCs w:val="18"/>
              </w:rPr>
              <w:t xml:space="preserve">The manifest, including completeness, actuation, and dictionary declarations.</w:t>
            </w:r>
          </w:p>
        </w:tc>
      </w:tr>
    </w:tbl>
    <w:p>
      <w:pPr>
        <w:pStyle w:val="NoteCopy"/>
      </w:pPr>
      <w:r>
        <w:rPr>
          <w:b/>
          <w:bCs/>
          <w:color w:val="70757C"/>
          <w:sz w:val="18"/>
          <w:szCs w:val="18"/>
        </w:rPr>
        <w:t xml:space="preserve">NOTE </w:t>
      </w:r>
      <w:r>
        <w:rPr>
          <w:color w:val="70757C"/>
          <w:sz w:val="18"/>
          <w:szCs w:val="18"/>
        </w:rPr>
        <w:t xml:space="preserve">Implementation experience: an importer whose internal model is a set of typed classes will silently drop fields those classes do not declare, which violates preservation over comprehension (2.4) in a way no schema check detects. The reference implementation holds entities verbatim and layers interpretation on top; an implementer who maps onto typed models must round-trip the unmapped remainder explicitly.</w:t>
      </w:r>
    </w:p>
    <w:p>
      <w:pPr>
        <w:pStyle w:val="BodyCopy"/>
      </w:pPr>
      <w:r>
        <w:t xml:space="preserve">The schemas use [JSONSCHEMA] draft 2020-12 and resolve cross-references by </w:t>
      </w:r>
      <w:r>
        <w:rPr>
          <w:rFonts w:ascii="Consolas" w:cs="Consolas" w:eastAsia="Consolas" w:hAnsi="Consolas"/>
          <w:color w:val="1A1D21"/>
          <w:sz w:val="18"/>
          <w:szCs w:val="18"/>
          <w:shd w:fill="F2F1ED" w:color="auto" w:val="clear"/>
        </w:rPr>
        <w:t xml:space="preserve">$id</w:t>
      </w:r>
      <w:r>
        <w:t xml:space="preserve">; a validator </w:t>
      </w:r>
      <w:r>
        <w:rPr>
          <w:b/>
          <w:bCs/>
          <w:color w:val="8C6D46"/>
        </w:rPr>
        <w:t xml:space="preserve">MUST</w:t>
      </w:r>
      <w:r>
        <w:t xml:space="preserve"> be configured with all three as a registry. Schema validation is necessary and not sufficient: it cannot detect a dangling reference, a mismatched digest, an undeclared namespace, an undefined property, an inaccurate actuation declaration, or a false completeness declaration. Annex A group PK exists for those.</w:t>
      </w:r>
    </w:p>
    <w:p>
      <w:pPr>
        <w:pStyle w:val="Heading2"/>
      </w:pPr>
      <w:r>
        <w:rPr>
          <w:color w:val="8C6D46"/>
        </w:rPr>
        <w:t xml:space="preserve">17.5</w:t>
      </w:r>
      <w:r>
        <w:t xml:space="preserve">  </w:t>
      </w:r>
      <w:r>
        <w:t xml:space="preserve">Canonical form</w:t>
      </w:r>
    </w:p>
    <w:p>
      <w:pPr>
        <w:pStyle w:val="BodyCopy"/>
      </w:pPr>
      <w:r>
        <w:t xml:space="preserve">A model document in canonical form is its [RFC8785] canonicalization with two rules applied first:</w:t>
      </w:r>
    </w:p>
    <w:p>
      <w:pPr>
        <w:pStyle w:val="BulletCopy"/>
        <w:numPr>
          <w:ilvl w:val="0"/>
          <w:numId w:val="3"/>
        </w:numPr>
      </w:pPr>
      <w:r>
        <w:t xml:space="preserve">The </w:t>
      </w:r>
      <w:r>
        <w:rPr>
          <w:rFonts w:ascii="Consolas" w:cs="Consolas" w:eastAsia="Consolas" w:hAnsi="Consolas"/>
          <w:color w:val="1A1D21"/>
          <w:sz w:val="18"/>
          <w:szCs w:val="18"/>
          <w:shd w:fill="F2F1ED" w:color="auto" w:val="clear"/>
        </w:rPr>
        <w:t xml:space="preserve">entities</w:t>
      </w:r>
      <w:r>
        <w:t xml:space="preserve"> array is sorted ascending by </w:t>
      </w:r>
      <w:r>
        <w:rPr>
          <w:rFonts w:ascii="Consolas" w:cs="Consolas" w:eastAsia="Consolas" w:hAnsi="Consolas"/>
          <w:color w:val="1A1D21"/>
          <w:sz w:val="18"/>
          <w:szCs w:val="18"/>
          <w:shd w:fill="F2F1ED" w:color="auto" w:val="clear"/>
        </w:rPr>
        <w:t xml:space="preserve">id</w:t>
      </w:r>
      <w:r>
        <w:t xml:space="preserve">, compared as UTF-8 code point sequences.</w:t>
      </w:r>
    </w:p>
    <w:p>
      <w:pPr>
        <w:pStyle w:val="BulletCopy"/>
        <w:numPr>
          <w:ilvl w:val="0"/>
          <w:numId w:val="3"/>
        </w:numPr>
      </w:pPr>
      <w:r>
        <w:t xml:space="preserve">Within each entity, </w:t>
      </w:r>
      <w:r>
        <w:rPr>
          <w:rFonts w:ascii="Consolas" w:cs="Consolas" w:eastAsia="Consolas" w:hAnsi="Consolas"/>
          <w:color w:val="1A1D21"/>
          <w:sz w:val="18"/>
          <w:szCs w:val="18"/>
          <w:shd w:fill="F2F1ED" w:color="auto" w:val="clear"/>
        </w:rPr>
        <w:t xml:space="preserve">externalIds</w:t>
      </w:r>
      <w:r>
        <w:t xml:space="preserve"> is sorted by scheme then value, </w:t>
      </w:r>
      <w:r>
        <w:rPr>
          <w:rFonts w:ascii="Consolas" w:cs="Consolas" w:eastAsia="Consolas" w:hAnsi="Consolas"/>
          <w:color w:val="1A1D21"/>
          <w:sz w:val="18"/>
          <w:szCs w:val="18"/>
          <w:shd w:fill="F2F1ED" w:color="auto" w:val="clear"/>
        </w:rPr>
        <w:t xml:space="preserve">classifications</w:t>
      </w:r>
      <w:r>
        <w:t xml:space="preserve"> by system then code, and </w:t>
      </w:r>
      <w:r>
        <w:rPr>
          <w:rFonts w:ascii="Consolas" w:cs="Consolas" w:eastAsia="Consolas" w:hAnsi="Consolas"/>
          <w:color w:val="1A1D21"/>
          <w:sz w:val="18"/>
          <w:szCs w:val="18"/>
          <w:shd w:fill="F2F1ED" w:color="auto" w:val="clear"/>
        </w:rPr>
        <w:t xml:space="preserve">properties</w:t>
      </w:r>
      <w:r>
        <w:t xml:space="preserve"> by definition. All other arrays retain their order, which is significant — notably </w:t>
      </w:r>
      <w:r>
        <w:rPr>
          <w:rFonts w:ascii="Consolas" w:cs="Consolas" w:eastAsia="Consolas" w:hAnsi="Consolas"/>
          <w:color w:val="1A1D21"/>
          <w:sz w:val="18"/>
          <w:szCs w:val="18"/>
          <w:shd w:fill="F2F1ED" w:color="auto" w:val="clear"/>
        </w:rPr>
        <w:t xml:space="preserve">mapping.ranges</w:t>
      </w:r>
      <w:r>
        <w:t xml:space="preserve"> and </w:t>
      </w:r>
      <w:r>
        <w:rPr>
          <w:rFonts w:ascii="Consolas" w:cs="Consolas" w:eastAsia="Consolas" w:hAnsi="Consolas"/>
          <w:color w:val="1A1D21"/>
          <w:sz w:val="18"/>
          <w:szCs w:val="18"/>
          <w:shd w:fill="F2F1ED" w:color="auto" w:val="clear"/>
        </w:rPr>
        <w:t xml:space="preserve">routing</w:t>
      </w:r>
      <w:r>
        <w:t xml:space="preserve">.</w:t>
      </w:r>
    </w:p>
    <w:p>
      <w:pPr>
        <w:pStyle w:val="BodyCopy"/>
      </w:pPr>
      <w:r>
        <w:t xml:space="preserve">Semantic equivalence, as used in 2.4 and Annex A, is: after canonicalization and after applying the identity mapping of test RT-1, the two documents are equal except where a difference is explicitly permitted by the applicable test.</w:t>
      </w:r>
    </w:p>
    <w:p>
      <w:pPr>
        <w:pStyle w:val="BodyCopy"/>
      </w:pPr>
      <w:r>
        <w:t xml:space="preserve">Two envelope fields are permitted differences under every round-trip test: </w:t>
      </w:r>
      <w:r>
        <w:rPr>
          <w:rFonts w:ascii="Consolas" w:cs="Consolas" w:eastAsia="Consolas" w:hAnsi="Consolas"/>
          <w:color w:val="1A1D21"/>
          <w:sz w:val="18"/>
          <w:szCs w:val="18"/>
          <w:shd w:fill="F2F1ED" w:color="auto" w:val="clear"/>
        </w:rPr>
        <w:t xml:space="preserve">generatedAt</w:t>
      </w:r>
      <w:r>
        <w:t xml:space="preserve"> and </w:t>
      </w:r>
      <w:r>
        <w:rPr>
          <w:rFonts w:ascii="Consolas" w:cs="Consolas" w:eastAsia="Consolas" w:hAnsi="Consolas"/>
          <w:color w:val="1A1D21"/>
          <w:sz w:val="18"/>
          <w:szCs w:val="18"/>
          <w:shd w:fill="F2F1ED" w:color="auto" w:val="clear"/>
        </w:rPr>
        <w:t xml:space="preserve">packageId</w:t>
      </w:r>
      <w:r>
        <w:t xml:space="preserve">. They identify the act of serialization, not the model, and requiring them to survive a round trip would make honest re-export impossible. Everything else in the envelope, including </w:t>
      </w:r>
      <w:r>
        <w:rPr>
          <w:rFonts w:ascii="Consolas" w:cs="Consolas" w:eastAsia="Consolas" w:hAnsi="Consolas"/>
          <w:color w:val="1A1D21"/>
          <w:sz w:val="18"/>
          <w:szCs w:val="18"/>
          <w:shd w:fill="F2F1ED" w:color="auto" w:val="clear"/>
        </w:rPr>
        <w:t xml:space="preserve">namespaces</w:t>
      </w:r>
      <w:r>
        <w:t xml:space="preserve">, is compared.</w:t>
      </w:r>
    </w:p>
    <w:p>
      <w:pPr>
        <w:pStyle w:val="NoteCopy"/>
      </w:pPr>
      <w:r>
        <w:rPr>
          <w:b/>
          <w:bCs/>
          <w:color w:val="70757C"/>
          <w:sz w:val="18"/>
          <w:szCs w:val="18"/>
        </w:rPr>
        <w:t xml:space="preserve">NOTE </w:t>
      </w:r>
      <w:r>
        <w:rPr>
          <w:color w:val="70757C"/>
          <w:sz w:val="18"/>
          <w:szCs w:val="18"/>
        </w:rPr>
        <w:t xml:space="preserve">Digests in the manifest are computed over stored bytes, not canonical form, because a receiver must verify integrity before parsing.</w:t>
      </w:r>
    </w:p>
    <w:p>
      <w:pPr>
        <w:pStyle w:val="Heading2"/>
      </w:pPr>
      <w:r>
        <w:rPr>
          <w:color w:val="8C6D46"/>
        </w:rPr>
        <w:t xml:space="preserve">17.6</w:t>
      </w:r>
      <w:r>
        <w:t xml:space="preserve">  </w:t>
      </w:r>
      <w:r>
        <w:t xml:space="preserve">JSON-LD compatibility</w:t>
      </w:r>
    </w:p>
    <w:p>
      <w:pPr>
        <w:pStyle w:val="BodyCopy"/>
      </w:pPr>
      <w:r>
        <w:t xml:space="preserve">The binding is designed to be interpretable as JSON-LD without modification. This version does not define a normative context document and an implementation </w:t>
      </w:r>
      <w:r>
        <w:rPr>
          <w:b/>
          <w:bCs/>
          <w:color w:val="8C6D46"/>
        </w:rPr>
        <w:t xml:space="preserve">MUST NOT</w:t>
      </w:r>
      <w:r>
        <w:t xml:space="preserve"> depend on one. The intent is that an RDF binding can be added later without changing the JSON on the wire.</w:t>
      </w:r>
    </w:p>
    <w:p>
      <w:pPr>
        <w:pStyle w:val="Heading1"/>
      </w:pPr>
      <w:r>
        <w:rPr>
          <w:rFonts w:ascii="Georgia" w:cs="Georgia" w:eastAsia="Georgia" w:hAnsi="Georgia"/>
          <w:color w:val="8C6D46"/>
        </w:rPr>
        <w:t xml:space="preserve">18</w:t>
      </w:r>
      <w:r>
        <w:t xml:space="preserve">  </w:t>
      </w:r>
      <w:r>
        <w:t xml:space="preserve">Versioning and compatibility</w:t>
      </w:r>
    </w:p>
    <w:p>
      <w:pPr>
        <w:spacing w:after="160" w:before="0"/>
      </w:pPr>
      <w:r>
        <w:rPr>
          <w:rFonts w:ascii="Calibri" w:cs="Calibri" w:eastAsia="Calibri" w:hAnsi="Calibri"/>
          <w:b/>
          <w:bCs/>
          <w:color w:val="8C6D46"/>
          <w:spacing w:val="40"/>
          <w:sz w:val="14"/>
          <w:szCs w:val="14"/>
        </w:rPr>
        <w:t xml:space="preserve">AGREED</w:t>
      </w:r>
    </w:p>
    <w:p>
      <w:pPr>
        <w:pStyle w:val="Heading2"/>
      </w:pPr>
      <w:r>
        <w:rPr>
          <w:color w:val="8C6D46"/>
        </w:rPr>
        <w:t xml:space="preserve">18.1</w:t>
      </w:r>
      <w:r>
        <w:t xml:space="preserve">  </w:t>
      </w:r>
      <w:r>
        <w:t xml:space="preserve">Version identifiers</w:t>
      </w:r>
    </w:p>
    <w:p>
      <w:pPr>
        <w:pStyle w:val="BodyCopy"/>
      </w:pPr>
      <w:r>
        <w:t xml:space="preserve">This document and its schemas are versioned </w:t>
      </w:r>
      <w:r>
        <w:rPr>
          <w:rFonts w:ascii="Consolas" w:cs="Consolas" w:eastAsia="Consolas" w:hAnsi="Consolas"/>
          <w:color w:val="1A1D21"/>
          <w:sz w:val="18"/>
          <w:szCs w:val="18"/>
          <w:shd w:fill="F2F1ED" w:color="auto" w:val="clear"/>
        </w:rPr>
        <w:t xml:space="preserve">MAJOR.MINOR</w:t>
      </w:r>
      <w:r>
        <w:t xml:space="preserve">. Packages declare the version they conform to in </w:t>
      </w:r>
      <w:r>
        <w:rPr>
          <w:rFonts w:ascii="Consolas" w:cs="Consolas" w:eastAsia="Consolas" w:hAnsi="Consolas"/>
          <w:color w:val="1A1D21"/>
          <w:sz w:val="18"/>
          <w:szCs w:val="18"/>
          <w:shd w:fill="F2F1ED" w:color="auto" w:val="clear"/>
        </w:rPr>
        <w:t xml:space="preserve">busVersion</w:t>
      </w:r>
      <w:r>
        <w:t xml:space="preserve">. Entities separately carry a </w:t>
      </w:r>
      <w:r>
        <w:rPr>
          <w:rFonts w:ascii="Consolas" w:cs="Consolas" w:eastAsia="Consolas" w:hAnsi="Consolas"/>
          <w:color w:val="1A1D21"/>
          <w:sz w:val="18"/>
          <w:szCs w:val="18"/>
          <w:shd w:fill="F2F1ED" w:color="auto" w:val="clear"/>
        </w:rPr>
        <w:t xml:space="preserve">revision</w:t>
      </w:r>
      <w:r>
        <w:t xml:space="preserve"> (6.6), which is unrelated.</w:t>
      </w:r>
    </w:p>
    <w:p>
      <w:pPr>
        <w:pStyle w:val="Heading2"/>
      </w:pPr>
      <w:r>
        <w:rPr>
          <w:color w:val="8C6D46"/>
        </w:rPr>
        <w:t xml:space="preserve">18.2</w:t>
      </w:r>
      <w:r>
        <w:t xml:space="preserve">  </w:t>
      </w:r>
      <w:r>
        <w:t xml:space="preserve">Compatibility rules</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3200"/>
        <w:gridCol w:w="1300"/>
        <w:gridCol w:w="4572"/>
      </w:tblGrid>
      <w:tr>
        <w:trPr>
          <w:cantSplit/>
          <w:tblHeader/>
        </w:trPr>
        <w:tc>
          <w:tcPr>
            <w:tcW w:type="dxa" w:w="32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Change</w:t>
            </w:r>
          </w:p>
        </w:tc>
        <w:tc>
          <w:tcPr>
            <w:tcW w:type="dxa" w:w="13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Impact</w:t>
            </w:r>
          </w:p>
        </w:tc>
        <w:tc>
          <w:tcPr>
            <w:tcW w:type="dxa" w:w="45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Importer obligation</w:t>
            </w:r>
          </w:p>
        </w:tc>
      </w:tr>
      <w:tr>
        <w:trPr>
          <w:cantSplit/>
        </w:trPr>
        <w:tc>
          <w:tcPr>
            <w:tcW w:type="dxa" w:w="3200"/>
            <w:shd w:fill="FFFFFF" w:color="auto" w:val="clear"/>
            <w:tcMar>
              <w:top w:type="dxa" w:w="120"/>
              <w:left w:type="dxa" w:w="160"/>
              <w:bottom w:type="dxa" w:w="120"/>
              <w:right w:type="dxa" w:w="160"/>
            </w:tcMar>
            <w:vAlign w:val="top"/>
          </w:tcPr>
          <w:p>
            <w:pPr>
              <w:spacing w:after="0" w:line="260"/>
            </w:pPr>
            <w:r>
              <w:rPr>
                <w:sz w:val="18"/>
                <w:szCs w:val="18"/>
              </w:rPr>
              <w:t xml:space="preserve">Adding an </w:t>
            </w:r>
            <w:r>
              <w:rPr>
                <w:b/>
                <w:bCs/>
                <w:color w:val="8C6D46"/>
                <w:sz w:val="18"/>
                <w:szCs w:val="18"/>
              </w:rPr>
              <w:t xml:space="preserve">OPTIONAL</w:t>
            </w:r>
            <w:r>
              <w:rPr>
                <w:sz w:val="18"/>
                <w:szCs w:val="18"/>
              </w:rPr>
              <w:t xml:space="preserve"> property</w:t>
            </w:r>
          </w:p>
        </w:tc>
        <w:tc>
          <w:tcPr>
            <w:tcW w:type="dxa" w:w="1300"/>
            <w:shd w:fill="FFFFFF" w:color="auto" w:val="clear"/>
            <w:tcMar>
              <w:top w:type="dxa" w:w="120"/>
              <w:left w:type="dxa" w:w="160"/>
              <w:bottom w:type="dxa" w:w="120"/>
              <w:right w:type="dxa" w:w="160"/>
            </w:tcMar>
            <w:vAlign w:val="top"/>
          </w:tcPr>
          <w:p>
            <w:pPr>
              <w:spacing w:after="0" w:line="260"/>
            </w:pPr>
            <w:r>
              <w:rPr>
                <w:sz w:val="18"/>
                <w:szCs w:val="18"/>
              </w:rPr>
              <w:t xml:space="preserve">MINOR</w:t>
            </w:r>
          </w:p>
        </w:tc>
        <w:tc>
          <w:tcPr>
            <w:tcW w:type="dxa" w:w="4572"/>
            <w:shd w:fill="FFFFFF" w:color="auto" w:val="clear"/>
            <w:tcMar>
              <w:top w:type="dxa" w:w="120"/>
              <w:left w:type="dxa" w:w="160"/>
              <w:bottom w:type="dxa" w:w="120"/>
              <w:right w:type="dxa" w:w="160"/>
            </w:tcMar>
            <w:vAlign w:val="top"/>
          </w:tcPr>
          <w:p>
            <w:pPr>
              <w:spacing w:after="0" w:line="260"/>
            </w:pPr>
            <w:r>
              <w:rPr>
                <w:sz w:val="18"/>
                <w:szCs w:val="18"/>
              </w:rPr>
              <w:t xml:space="preserve">Preserve it. Ignoring is permitted; discarding is not.</w:t>
            </w:r>
          </w:p>
        </w:tc>
      </w:tr>
      <w:tr>
        <w:trPr>
          <w:cantSplit/>
        </w:trPr>
        <w:tc>
          <w:tcPr>
            <w:tcW w:type="dxa" w:w="3200"/>
            <w:shd w:fill="FAF9F6" w:color="auto" w:val="clear"/>
            <w:tcMar>
              <w:top w:type="dxa" w:w="120"/>
              <w:left w:type="dxa" w:w="160"/>
              <w:bottom w:type="dxa" w:w="120"/>
              <w:right w:type="dxa" w:w="160"/>
            </w:tcMar>
            <w:vAlign w:val="top"/>
          </w:tcPr>
          <w:p>
            <w:pPr>
              <w:spacing w:after="0" w:line="260"/>
            </w:pPr>
            <w:r>
              <w:rPr>
                <w:sz w:val="18"/>
                <w:szCs w:val="18"/>
              </w:rPr>
              <w:t xml:space="preserve">Adding an enumeration member</w:t>
            </w:r>
          </w:p>
        </w:tc>
        <w:tc>
          <w:tcPr>
            <w:tcW w:type="dxa" w:w="1300"/>
            <w:shd w:fill="FAF9F6" w:color="auto" w:val="clear"/>
            <w:tcMar>
              <w:top w:type="dxa" w:w="120"/>
              <w:left w:type="dxa" w:w="160"/>
              <w:bottom w:type="dxa" w:w="120"/>
              <w:right w:type="dxa" w:w="160"/>
            </w:tcMar>
            <w:vAlign w:val="top"/>
          </w:tcPr>
          <w:p>
            <w:pPr>
              <w:spacing w:after="0" w:line="260"/>
            </w:pPr>
            <w:r>
              <w:rPr>
                <w:sz w:val="18"/>
                <w:szCs w:val="18"/>
              </w:rPr>
              <w:t xml:space="preserve">MINOR</w:t>
            </w:r>
          </w:p>
        </w:tc>
        <w:tc>
          <w:tcPr>
            <w:tcW w:type="dxa" w:w="4572"/>
            <w:shd w:fill="FAF9F6" w:color="auto" w:val="clear"/>
            <w:tcMar>
              <w:top w:type="dxa" w:w="120"/>
              <w:left w:type="dxa" w:w="160"/>
              <w:bottom w:type="dxa" w:w="120"/>
              <w:right w:type="dxa" w:w="160"/>
            </w:tcMar>
            <w:vAlign w:val="top"/>
          </w:tcPr>
          <w:p>
            <w:pPr>
              <w:spacing w:after="0" w:line="260"/>
            </w:pPr>
            <w:r>
              <w:rPr>
                <w:sz w:val="18"/>
                <w:szCs w:val="18"/>
              </w:rPr>
              <w:t xml:space="preserve">Preserve the value. </w:t>
            </w:r>
            <w:r>
              <w:rPr>
                <w:b/>
                <w:bCs/>
                <w:color w:val="8C6D46"/>
                <w:sz w:val="18"/>
                <w:szCs w:val="18"/>
              </w:rPr>
              <w:t xml:space="preserve">MUST NOT</w:t>
            </w:r>
            <w:r>
              <w:rPr>
                <w:sz w:val="18"/>
                <w:szCs w:val="18"/>
              </w:rPr>
              <w:t xml:space="preserve"> coerce to a default.</w:t>
            </w:r>
          </w:p>
        </w:tc>
      </w:tr>
      <w:tr>
        <w:trPr>
          <w:cantSplit/>
        </w:trPr>
        <w:tc>
          <w:tcPr>
            <w:tcW w:type="dxa" w:w="3200"/>
            <w:shd w:fill="FFFFFF" w:color="auto" w:val="clear"/>
            <w:tcMar>
              <w:top w:type="dxa" w:w="120"/>
              <w:left w:type="dxa" w:w="160"/>
              <w:bottom w:type="dxa" w:w="120"/>
              <w:right w:type="dxa" w:w="160"/>
            </w:tcMar>
            <w:vAlign w:val="top"/>
          </w:tcPr>
          <w:p>
            <w:pPr>
              <w:spacing w:after="0" w:line="260"/>
            </w:pPr>
            <w:r>
              <w:rPr>
                <w:sz w:val="18"/>
                <w:szCs w:val="18"/>
              </w:rPr>
              <w:t xml:space="preserve">Adding a class, predicate, channel, or symbol role</w:t>
            </w:r>
          </w:p>
        </w:tc>
        <w:tc>
          <w:tcPr>
            <w:tcW w:type="dxa" w:w="1300"/>
            <w:shd w:fill="FFFFFF" w:color="auto" w:val="clear"/>
            <w:tcMar>
              <w:top w:type="dxa" w:w="120"/>
              <w:left w:type="dxa" w:w="160"/>
              <w:bottom w:type="dxa" w:w="120"/>
              <w:right w:type="dxa" w:w="160"/>
            </w:tcMar>
            <w:vAlign w:val="top"/>
          </w:tcPr>
          <w:p>
            <w:pPr>
              <w:spacing w:after="0" w:line="260"/>
            </w:pPr>
            <w:r>
              <w:rPr>
                <w:sz w:val="18"/>
                <w:szCs w:val="18"/>
              </w:rPr>
              <w:t xml:space="preserve">MINOR</w:t>
            </w:r>
          </w:p>
        </w:tc>
        <w:tc>
          <w:tcPr>
            <w:tcW w:type="dxa" w:w="4572"/>
            <w:shd w:fill="FFFFFF" w:color="auto" w:val="clear"/>
            <w:tcMar>
              <w:top w:type="dxa" w:w="120"/>
              <w:left w:type="dxa" w:w="160"/>
              <w:bottom w:type="dxa" w:w="120"/>
              <w:right w:type="dxa" w:w="160"/>
            </w:tcMar>
            <w:vAlign w:val="top"/>
          </w:tcPr>
          <w:p>
            <w:pPr>
              <w:spacing w:after="0" w:line="260"/>
            </w:pPr>
            <w:r>
              <w:rPr>
                <w:sz w:val="18"/>
                <w:szCs w:val="18"/>
              </w:rPr>
              <w:t xml:space="preserve">Preserve entities using it. Symbol roles degrade per 13.4.2.</w:t>
            </w:r>
          </w:p>
        </w:tc>
      </w:tr>
      <w:tr>
        <w:trPr>
          <w:cantSplit/>
        </w:trPr>
        <w:tc>
          <w:tcPr>
            <w:tcW w:type="dxa" w:w="3200"/>
            <w:shd w:fill="FAF9F6" w:color="auto" w:val="clear"/>
            <w:tcMar>
              <w:top w:type="dxa" w:w="120"/>
              <w:left w:type="dxa" w:w="160"/>
              <w:bottom w:type="dxa" w:w="120"/>
              <w:right w:type="dxa" w:w="160"/>
            </w:tcMar>
            <w:vAlign w:val="top"/>
          </w:tcPr>
          <w:p>
            <w:pPr>
              <w:spacing w:after="0" w:line="260"/>
            </w:pPr>
            <w:r>
              <w:rPr>
                <w:sz w:val="18"/>
                <w:szCs w:val="18"/>
              </w:rPr>
              <w:t xml:space="preserve">Promoting an extension or property definition to the core</w:t>
            </w:r>
          </w:p>
        </w:tc>
        <w:tc>
          <w:tcPr>
            <w:tcW w:type="dxa" w:w="1300"/>
            <w:shd w:fill="FAF9F6" w:color="auto" w:val="clear"/>
            <w:tcMar>
              <w:top w:type="dxa" w:w="120"/>
              <w:left w:type="dxa" w:w="160"/>
              <w:bottom w:type="dxa" w:w="120"/>
              <w:right w:type="dxa" w:w="160"/>
            </w:tcMar>
            <w:vAlign w:val="top"/>
          </w:tcPr>
          <w:p>
            <w:pPr>
              <w:spacing w:after="0" w:line="260"/>
            </w:pPr>
            <w:r>
              <w:rPr>
                <w:sz w:val="18"/>
                <w:szCs w:val="18"/>
              </w:rPr>
              <w:t xml:space="preserve">MINOR</w:t>
            </w:r>
          </w:p>
        </w:tc>
        <w:tc>
          <w:tcPr>
            <w:tcW w:type="dxa" w:w="4572"/>
            <w:shd w:fill="FAF9F6" w:color="auto" w:val="clear"/>
            <w:tcMar>
              <w:top w:type="dxa" w:w="120"/>
              <w:left w:type="dxa" w:w="160"/>
              <w:bottom w:type="dxa" w:w="120"/>
              <w:right w:type="dxa" w:w="160"/>
            </w:tcMar>
            <w:vAlign w:val="top"/>
          </w:tcPr>
          <w:p>
            <w:pPr>
              <w:spacing w:after="0" w:line="260"/>
            </w:pPr>
            <w:r>
              <w:rPr>
                <w:sz w:val="18"/>
                <w:szCs w:val="18"/>
              </w:rPr>
              <w:t xml:space="preserve">Accept both forms. </w:t>
            </w:r>
            <w:r>
              <w:rPr>
                <w:b/>
                <w:bCs/>
                <w:color w:val="8C6D46"/>
                <w:sz w:val="18"/>
                <w:szCs w:val="18"/>
              </w:rPr>
              <w:t xml:space="preserve">SHOULD</w:t>
            </w:r>
            <w:r>
              <w:rPr>
                <w:sz w:val="18"/>
                <w:szCs w:val="18"/>
              </w:rPr>
              <w:t xml:space="preserve"> emit the core form on re-export.</w:t>
            </w:r>
          </w:p>
        </w:tc>
      </w:tr>
      <w:tr>
        <w:trPr>
          <w:cantSplit/>
        </w:trPr>
        <w:tc>
          <w:tcPr>
            <w:tcW w:type="dxa" w:w="3200"/>
            <w:shd w:fill="FFFFFF" w:color="auto" w:val="clear"/>
            <w:tcMar>
              <w:top w:type="dxa" w:w="120"/>
              <w:left w:type="dxa" w:w="160"/>
              <w:bottom w:type="dxa" w:w="120"/>
              <w:right w:type="dxa" w:w="160"/>
            </w:tcMar>
            <w:vAlign w:val="top"/>
          </w:tcPr>
          <w:p>
            <w:pPr>
              <w:spacing w:after="0" w:line="260"/>
            </w:pPr>
            <w:r>
              <w:rPr>
                <w:sz w:val="18"/>
                <w:szCs w:val="18"/>
              </w:rPr>
              <w:t xml:space="preserve">Deprecating a construct</w:t>
            </w:r>
          </w:p>
        </w:tc>
        <w:tc>
          <w:tcPr>
            <w:tcW w:type="dxa" w:w="1300"/>
            <w:shd w:fill="FFFFFF" w:color="auto" w:val="clear"/>
            <w:tcMar>
              <w:top w:type="dxa" w:w="120"/>
              <w:left w:type="dxa" w:w="160"/>
              <w:bottom w:type="dxa" w:w="120"/>
              <w:right w:type="dxa" w:w="160"/>
            </w:tcMar>
            <w:vAlign w:val="top"/>
          </w:tcPr>
          <w:p>
            <w:pPr>
              <w:spacing w:after="0" w:line="260"/>
            </w:pPr>
            <w:r>
              <w:rPr>
                <w:sz w:val="18"/>
                <w:szCs w:val="18"/>
              </w:rPr>
              <w:t xml:space="preserve">MINOR</w:t>
            </w:r>
          </w:p>
        </w:tc>
        <w:tc>
          <w:tcPr>
            <w:tcW w:type="dxa" w:w="4572"/>
            <w:shd w:fill="FFFFFF" w:color="auto" w:val="clear"/>
            <w:tcMar>
              <w:top w:type="dxa" w:w="120"/>
              <w:left w:type="dxa" w:w="160"/>
              <w:bottom w:type="dxa" w:w="120"/>
              <w:right w:type="dxa" w:w="160"/>
            </w:tcMar>
            <w:vAlign w:val="top"/>
          </w:tcPr>
          <w:p>
            <w:pPr>
              <w:spacing w:after="0" w:line="260"/>
            </w:pPr>
            <w:r>
              <w:rPr>
                <w:sz w:val="18"/>
                <w:szCs w:val="18"/>
              </w:rPr>
              <w:t xml:space="preserve">Continue to accept it until a MAJOR change.</w:t>
            </w:r>
          </w:p>
        </w:tc>
      </w:tr>
      <w:tr>
        <w:trPr>
          <w:cantSplit/>
        </w:trPr>
        <w:tc>
          <w:tcPr>
            <w:tcW w:type="dxa" w:w="3200"/>
            <w:shd w:fill="FAF9F6" w:color="auto" w:val="clear"/>
            <w:tcMar>
              <w:top w:type="dxa" w:w="120"/>
              <w:left w:type="dxa" w:w="160"/>
              <w:bottom w:type="dxa" w:w="120"/>
              <w:right w:type="dxa" w:w="160"/>
            </w:tcMar>
            <w:vAlign w:val="top"/>
          </w:tcPr>
          <w:p>
            <w:pPr>
              <w:spacing w:after="0" w:line="260"/>
            </w:pPr>
            <w:r>
              <w:rPr>
                <w:sz w:val="18"/>
                <w:szCs w:val="18"/>
              </w:rPr>
              <w:t xml:space="preserve">Removing or narrowing a construct</w:t>
            </w:r>
          </w:p>
        </w:tc>
        <w:tc>
          <w:tcPr>
            <w:tcW w:type="dxa" w:w="1300"/>
            <w:shd w:fill="FAF9F6" w:color="auto" w:val="clear"/>
            <w:tcMar>
              <w:top w:type="dxa" w:w="120"/>
              <w:left w:type="dxa" w:w="160"/>
              <w:bottom w:type="dxa" w:w="120"/>
              <w:right w:type="dxa" w:w="160"/>
            </w:tcMar>
            <w:vAlign w:val="top"/>
          </w:tcPr>
          <w:p>
            <w:pPr>
              <w:spacing w:after="0" w:line="260"/>
            </w:pPr>
            <w:r>
              <w:rPr>
                <w:sz w:val="18"/>
                <w:szCs w:val="18"/>
              </w:rPr>
              <w:t xml:space="preserve">MAJOR</w:t>
            </w:r>
          </w:p>
        </w:tc>
        <w:tc>
          <w:tcPr>
            <w:tcW w:type="dxa" w:w="4572"/>
            <w:shd w:fill="FAF9F6" w:color="auto" w:val="clear"/>
            <w:tcMar>
              <w:top w:type="dxa" w:w="120"/>
              <w:left w:type="dxa" w:w="160"/>
              <w:bottom w:type="dxa" w:w="120"/>
              <w:right w:type="dxa" w:w="160"/>
            </w:tcMar>
            <w:vAlign w:val="top"/>
          </w:tcPr>
          <w:p>
            <w:pPr>
              <w:spacing w:after="0" w:line="260"/>
            </w:pPr>
            <w:r>
              <w:rPr>
                <w:sz w:val="18"/>
                <w:szCs w:val="18"/>
              </w:rPr>
              <w:t xml:space="preserve">Not permitted within a MAJOR version.</w:t>
            </w:r>
          </w:p>
        </w:tc>
      </w:tr>
      <w:tr>
        <w:trPr>
          <w:cantSplit/>
        </w:trPr>
        <w:tc>
          <w:tcPr>
            <w:tcW w:type="dxa" w:w="3200"/>
            <w:shd w:fill="FFFFFF" w:color="auto" w:val="clear"/>
            <w:tcMar>
              <w:top w:type="dxa" w:w="120"/>
              <w:left w:type="dxa" w:w="160"/>
              <w:bottom w:type="dxa" w:w="120"/>
              <w:right w:type="dxa" w:w="160"/>
            </w:tcMar>
            <w:vAlign w:val="top"/>
          </w:tcPr>
          <w:p>
            <w:pPr>
              <w:spacing w:after="0" w:line="260"/>
            </w:pPr>
            <w:r>
              <w:rPr>
                <w:sz w:val="18"/>
                <w:szCs w:val="18"/>
              </w:rPr>
              <w:t xml:space="preserve">Changing the meaning of a construct</w:t>
            </w:r>
          </w:p>
        </w:tc>
        <w:tc>
          <w:tcPr>
            <w:tcW w:type="dxa" w:w="1300"/>
            <w:shd w:fill="FFFFFF" w:color="auto" w:val="clear"/>
            <w:tcMar>
              <w:top w:type="dxa" w:w="120"/>
              <w:left w:type="dxa" w:w="160"/>
              <w:bottom w:type="dxa" w:w="120"/>
              <w:right w:type="dxa" w:w="160"/>
            </w:tcMar>
            <w:vAlign w:val="top"/>
          </w:tcPr>
          <w:p>
            <w:pPr>
              <w:spacing w:after="0" w:line="260"/>
            </w:pPr>
            <w:r>
              <w:rPr>
                <w:sz w:val="18"/>
                <w:szCs w:val="18"/>
              </w:rPr>
              <w:t xml:space="preserve">MAJOR</w:t>
            </w:r>
          </w:p>
        </w:tc>
        <w:tc>
          <w:tcPr>
            <w:tcW w:type="dxa" w:w="4572"/>
            <w:shd w:fill="FFFFFF" w:color="auto" w:val="clear"/>
            <w:tcMar>
              <w:top w:type="dxa" w:w="120"/>
              <w:left w:type="dxa" w:w="160"/>
              <w:bottom w:type="dxa" w:w="120"/>
              <w:right w:type="dxa" w:w="160"/>
            </w:tcMar>
            <w:vAlign w:val="top"/>
          </w:tcPr>
          <w:p>
            <w:pPr>
              <w:spacing w:after="0" w:line="260"/>
            </w:pPr>
            <w:r>
              <w:rPr>
                <w:sz w:val="18"/>
                <w:szCs w:val="18"/>
              </w:rPr>
              <w:t xml:space="preserve">Not permitted within a MAJOR version.</w:t>
            </w:r>
          </w:p>
        </w:tc>
      </w:tr>
    </w:tbl>
    <w:p>
      <w:pPr>
        <w:pStyle w:val="BodyCopy"/>
      </w:pPr>
      <w:r>
        <w:t xml:space="preserve">An importer </w:t>
      </w:r>
      <w:r>
        <w:rPr>
          <w:b/>
          <w:bCs/>
          <w:color w:val="8C6D46"/>
        </w:rPr>
        <w:t xml:space="preserve">MUST</w:t>
      </w:r>
      <w:r>
        <w:t xml:space="preserve"> refuse a package whose </w:t>
      </w:r>
      <w:r>
        <w:rPr>
          <w:rFonts w:ascii="Consolas" w:cs="Consolas" w:eastAsia="Consolas" w:hAnsi="Consolas"/>
          <w:color w:val="1A1D21"/>
          <w:sz w:val="18"/>
          <w:szCs w:val="18"/>
          <w:shd w:fill="F2F1ED" w:color="auto" w:val="clear"/>
        </w:rPr>
        <w:t xml:space="preserve">busVersion</w:t>
      </w:r>
      <w:r>
        <w:t xml:space="preserve"> has a higher MAJOR number and </w:t>
      </w:r>
      <w:r>
        <w:rPr>
          <w:b/>
          <w:bCs/>
          <w:color w:val="8C6D46"/>
        </w:rPr>
        <w:t xml:space="preserve">MUST</w:t>
      </w:r>
      <w:r>
        <w:t xml:space="preserve"> report the version it supports. It </w:t>
      </w:r>
      <w:r>
        <w:rPr>
          <w:b/>
          <w:bCs/>
          <w:color w:val="8C6D46"/>
        </w:rPr>
        <w:t xml:space="preserve">MUST</w:t>
      </w:r>
      <w:r>
        <w:t xml:space="preserve"> accept a package with the same MAJOR and a higher MINOR, preserving what it does not understand and reporting which constructs it ignored.</w:t>
      </w:r>
    </w:p>
    <w:p>
      <w:pPr>
        <w:pStyle w:val="NoteCopy"/>
      </w:pPr>
      <w:r>
        <w:rPr>
          <w:b/>
          <w:bCs/>
          <w:color w:val="70757C"/>
          <w:sz w:val="18"/>
          <w:szCs w:val="18"/>
        </w:rPr>
        <w:t xml:space="preserve">NOTE </w:t>
      </w:r>
      <w:r>
        <w:rPr>
          <w:color w:val="70757C"/>
          <w:sz w:val="18"/>
          <w:szCs w:val="18"/>
        </w:rPr>
        <w:t xml:space="preserve">Acceptance of a newer MINOR constrains schema validation: a package written under 0.3 may carry enumeration members and properties that the 0.2 schemas reject, and those rejections are unknown constructs to be preserved and reported, never grounds for refusal. Structural checks — digests, referential closure, identifier uniqueness, the completeness declaration — remain strict at every version. The reference implementation initially got this wrong, and test IM-3 exists to catch exactly that mistake.</w:t>
      </w:r>
    </w:p>
    <w:p>
      <w:pPr>
        <w:pStyle w:val="Heading2"/>
      </w:pPr>
      <w:r>
        <w:rPr>
          <w:color w:val="8C6D46"/>
        </w:rPr>
        <w:t xml:space="preserve">18.3</w:t>
      </w:r>
      <w:r>
        <w:t xml:space="preserve">  </w:t>
      </w:r>
      <w:r>
        <w:t xml:space="preserve">Backward interpretability</w:t>
      </w:r>
    </w:p>
    <w:p>
      <w:pPr>
        <w:pStyle w:val="BodyCopy"/>
      </w:pPr>
      <w:r>
        <w:t xml:space="preserve">The obligation is stronger than backward compatibility of software. It is backward interpretability of packages: a package written correctly under v0.2 </w:t>
      </w:r>
      <w:r>
        <w:rPr>
          <w:b/>
          <w:bCs/>
          <w:color w:val="8C6D46"/>
        </w:rPr>
        <w:t xml:space="preserve">MUST</w:t>
      </w:r>
      <w:r>
        <w:t xml:space="preserve"> remain interpretable under every subsequent version with the same MAJOR number, without the original exporter and without a migration tool only one party can run.</w:t>
      </w:r>
    </w:p>
    <w:p>
      <w:pPr>
        <w:pStyle w:val="BodyCopy"/>
      </w:pPr>
      <w:r>
        <w:t xml:space="preserve">Where a MAJOR change is unavoidable, the governance body </w:t>
      </w:r>
      <w:r>
        <w:rPr>
          <w:b/>
          <w:bCs/>
          <w:color w:val="8C6D46"/>
        </w:rPr>
        <w:t xml:space="preserve">MUST</w:t>
      </w:r>
      <w:r>
        <w:t xml:space="preserve"> publish an open-source, deterministic migration from the previous MAJOR version before the new one takes effect.</w:t>
      </w:r>
    </w:p>
    <w:p>
      <w:pPr>
        <w:pStyle w:val="NoteCopy"/>
      </w:pPr>
      <w:r>
        <w:rPr>
          <w:b/>
          <w:bCs/>
          <w:color w:val="70757C"/>
          <w:sz w:val="18"/>
          <w:szCs w:val="18"/>
        </w:rPr>
        <w:t xml:space="preserve">NOTE </w:t>
      </w:r>
      <w:r>
        <w:rPr>
          <w:color w:val="70757C"/>
          <w:sz w:val="18"/>
          <w:szCs w:val="18"/>
        </w:rPr>
        <w:t xml:space="preserve">v0.2 is not backward compatible with v0.1 — the property model, the space classes, and the party class all changed. This is permitted only because no v0.1 package exists outside this project. It will not be permitted again.</w:t>
      </w:r>
    </w:p>
    <w:p>
      <w:pPr>
        <w:pStyle w:val="Heading1"/>
      </w:pPr>
      <w:r>
        <w:rPr>
          <w:rFonts w:ascii="Georgia" w:cs="Georgia" w:eastAsia="Georgia" w:hAnsi="Georgia"/>
          <w:color w:val="8C6D46"/>
        </w:rPr>
        <w:t xml:space="preserve">19</w:t>
      </w:r>
      <w:r>
        <w:t xml:space="preserve">  </w:t>
      </w:r>
      <w:r>
        <w:t xml:space="preserve">Security, privacy, and integrity</w:t>
      </w:r>
    </w:p>
    <w:p>
      <w:pPr>
        <w:spacing w:after="160" w:before="0"/>
      </w:pPr>
      <w:r>
        <w:rPr>
          <w:rFonts w:ascii="Calibri" w:cs="Calibri" w:eastAsia="Calibri" w:hAnsi="Calibri"/>
          <w:b/>
          <w:bCs/>
          <w:color w:val="8C6D46"/>
          <w:spacing w:val="40"/>
          <w:sz w:val="14"/>
          <w:szCs w:val="14"/>
        </w:rPr>
        <w:t xml:space="preserve">AGREED</w:t>
      </w:r>
      <w:r>
        <w:t xml:space="preserve">   </w:t>
      </w:r>
      <w:r>
        <w:rPr>
          <w:i/>
          <w:iCs/>
          <w:color w:val="70757C"/>
          <w:sz w:val="17"/>
          <w:szCs w:val="17"/>
        </w:rPr>
        <w:t xml:space="preserve">Escalated in v0.2 because command actions now travel.</w:t>
      </w:r>
    </w:p>
    <w:p>
      <w:pPr>
        <w:pStyle w:val="Heading2"/>
      </w:pPr>
      <w:r>
        <w:rPr>
          <w:color w:val="8C6D46"/>
        </w:rPr>
        <w:t xml:space="preserve">19.1</w:t>
      </w:r>
      <w:r>
        <w:t xml:space="preserve">  </w:t>
      </w:r>
      <w:r>
        <w:t xml:space="preserve">What a package is</w:t>
      </w:r>
    </w:p>
    <w:p>
      <w:pPr>
        <w:pStyle w:val="BodyCopy"/>
      </w:pPr>
      <w:r>
        <w:t xml:space="preserve">A conforming package is a complete operational description of a building: its plant, topology, control points, protocol addresses, setpoints, safety limits, alarm routing, occupancy schedule, floor plan geometry — and, where actuation is present, the map by which plant can be commanded, at what priority.</w:t>
      </w:r>
    </w:p>
    <w:p>
      <w:pPr>
        <w:pStyle w:val="BodyCopy"/>
      </w:pPr>
      <w:r>
        <w:t xml:space="preserve">That is a complete operational control kit. This standard makes packages portable. It does not make them safe to publish, and nothing here should be read as encouraging owners or vendors to treat them as ordinary documents.</w:t>
      </w:r>
    </w:p>
    <w:p>
      <w:pPr>
        <w:pStyle w:val="Heading2"/>
      </w:pPr>
      <w:r>
        <w:rPr>
          <w:color w:val="8C6D46"/>
        </w:rPr>
        <w:t xml:space="preserve">19.2</w:t>
      </w:r>
      <w:r>
        <w:t xml:space="preserve">  </w:t>
      </w:r>
      <w:r>
        <w:t xml:space="preserve">Actuation</w:t>
      </w:r>
    </w:p>
    <w:tbl>
      <w:tblPr>
        <w:tblW w:type="dxa" w:w="9072"/>
        <w:tblBorders>
          <w:top w:val="none" w:color="FFFFFF" w:sz="0"/>
          <w:left w:val="single" w:color="8C6D46" w:sz="24"/>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F5F3EE" w:color="auto" w:val="clear"/>
            <w:tcMar>
              <w:top w:type="dxa" w:w="200"/>
              <w:left w:type="dxa" w:w="260"/>
              <w:bottom w:type="dxa" w:w="200"/>
              <w:right w:type="dxa" w:w="260"/>
            </w:tcMar>
          </w:tcPr>
          <w:p>
            <w:pPr>
              <w:spacing w:after="80"/>
            </w:pPr>
            <w:r>
              <w:rPr>
                <w:rFonts w:ascii="Georgia" w:cs="Georgia" w:eastAsia="Georgia" w:hAnsi="Georgia"/>
                <w:b/>
                <w:bCs/>
                <w:color w:val="1A1D21"/>
                <w:sz w:val="22"/>
                <w:szCs w:val="22"/>
              </w:rPr>
              <w:t xml:space="preserve">Requirement 19.2-1</w:t>
            </w:r>
          </w:p>
          <w:p>
            <w:pPr>
              <w:spacing w:after="0" w:line="280"/>
            </w:pPr>
            <w:r>
              <w:rPr>
                <w:sz w:val="20"/>
                <w:szCs w:val="20"/>
              </w:rPr>
              <w:t xml:space="preserve">A package carrying write bindings </w:t>
            </w:r>
            <w:r>
              <w:rPr>
                <w:b/>
                <w:bCs/>
                <w:color w:val="8C6D46"/>
                <w:sz w:val="20"/>
                <w:szCs w:val="20"/>
              </w:rPr>
              <w:t xml:space="preserve">MUST</w:t>
            </w:r>
            <w:r>
              <w:rPr>
                <w:sz w:val="20"/>
                <w:szCs w:val="20"/>
              </w:rPr>
              <w:t xml:space="preserve"> declare actuation in the manifest (16.7), </w:t>
            </w:r>
            <w:r>
              <w:rPr>
                <w:b/>
                <w:bCs/>
                <w:color w:val="8C6D46"/>
                <w:sz w:val="20"/>
                <w:szCs w:val="20"/>
              </w:rPr>
              <w:t xml:space="preserve">SHOULD</w:t>
            </w:r>
            <w:r>
              <w:rPr>
                <w:sz w:val="20"/>
                <w:szCs w:val="20"/>
              </w:rPr>
              <w:t xml:space="preserve"> be signed, and </w:t>
            </w:r>
            <w:r>
              <w:rPr>
                <w:b/>
                <w:bCs/>
                <w:color w:val="8C6D46"/>
                <w:sz w:val="20"/>
                <w:szCs w:val="20"/>
              </w:rPr>
              <w:t xml:space="preserve">SHOULD</w:t>
            </w:r>
            <w:r>
              <w:rPr>
                <w:sz w:val="20"/>
                <w:szCs w:val="20"/>
              </w:rPr>
              <w:t xml:space="preserve"> be transferred only under an agreement that names who may hold it. An exporter </w:t>
            </w:r>
            <w:r>
              <w:rPr>
                <w:b/>
                <w:bCs/>
                <w:color w:val="8C6D46"/>
                <w:sz w:val="20"/>
                <w:szCs w:val="20"/>
              </w:rPr>
              <w:t xml:space="preserve">MUST</w:t>
            </w:r>
            <w:r>
              <w:rPr>
                <w:sz w:val="20"/>
                <w:szCs w:val="20"/>
              </w:rPr>
              <w:t xml:space="preserve"> be able to exclude command bindings on request, declaring the exclusion with reason </w:t>
            </w:r>
            <w:r>
              <w:rPr>
                <w:rFonts w:ascii="Consolas" w:cs="Consolas" w:eastAsia="Consolas" w:hAnsi="Consolas"/>
                <w:color w:val="1A1D21"/>
                <w:sz w:val="17"/>
                <w:szCs w:val="17"/>
                <w:shd w:fill="F2F1ED" w:color="auto" w:val="clear"/>
              </w:rPr>
              <w:t xml:space="preserve">excludedForSafety</w:t>
            </w:r>
            <w:r>
              <w:rPr>
                <w:sz w:val="20"/>
                <w:szCs w:val="20"/>
              </w:rPr>
              <w:t xml:space="preserve">.</w:t>
            </w:r>
          </w:p>
        </w:tc>
      </w:tr>
    </w:tbl>
    <w:p>
      <w:pPr>
        <w:spacing w:after="120"/>
      </w:pPr>
      <w:r>
        <w:rPr>
          <w:sz w:val="2"/>
          <w:szCs w:val="2"/>
        </w:rPr>
        <w:t xml:space="preserve"/>
      </w:r>
    </w:p>
    <w:p>
      <w:pPr>
        <w:pStyle w:val="BodyCopy"/>
      </w:pPr>
      <w:r>
        <w:t xml:space="preserve">Excluding actuation degrades the package: the receiving system will have to rebuild the command layer, which is the most safety-critical part to rebuild. The exclusion exists so that the decision is the owner’s and is visible, not so that it becomes routine.</w:t>
      </w:r>
    </w:p>
    <w:p>
      <w:pPr>
        <w:pStyle w:val="Heading2"/>
      </w:pPr>
      <w:r>
        <w:rPr>
          <w:color w:val="8C6D46"/>
        </w:rPr>
        <w:t xml:space="preserve">19.3</w:t>
      </w:r>
      <w:r>
        <w:t xml:space="preserve">  </w:t>
      </w:r>
      <w:r>
        <w:t xml:space="preserve">Handling</w:t>
      </w:r>
    </w:p>
    <w:p>
      <w:pPr>
        <w:pStyle w:val="BulletCopy"/>
        <w:numPr>
          <w:ilvl w:val="0"/>
          <w:numId w:val="2"/>
        </w:numPr>
      </w:pPr>
      <w:r>
        <w:t xml:space="preserve">A package </w:t>
      </w:r>
      <w:r>
        <w:rPr>
          <w:b/>
          <w:bCs/>
          <w:color w:val="8C6D46"/>
        </w:rPr>
        <w:t xml:space="preserve">SHOULD</w:t>
      </w:r>
      <w:r>
        <w:t xml:space="preserve"> be encrypted in transit and at rest. Container-level encryption is not used (16.2), so protection is the responsibility of the transport and the store.</w:t>
      </w:r>
    </w:p>
    <w:p>
      <w:pPr>
        <w:pStyle w:val="BulletCopy"/>
        <w:numPr>
          <w:ilvl w:val="0"/>
          <w:numId w:val="2"/>
        </w:numPr>
      </w:pPr>
      <w:r>
        <w:t xml:space="preserve">An implementation </w:t>
      </w:r>
      <w:r>
        <w:rPr>
          <w:b/>
          <w:bCs/>
          <w:color w:val="8C6D46"/>
        </w:rPr>
        <w:t xml:space="preserve">MUST NOT</w:t>
      </w:r>
      <w:r>
        <w:t xml:space="preserve"> include live credentials, private keys, shared secrets, or authentication tokens. Telemetry bindings carry addresses, not credentials.</w:t>
      </w:r>
    </w:p>
    <w:p>
      <w:pPr>
        <w:pStyle w:val="BulletCopy"/>
        <w:numPr>
          <w:ilvl w:val="0"/>
          <w:numId w:val="2"/>
        </w:numPr>
      </w:pPr>
      <w:r>
        <w:t xml:space="preserve">An importer </w:t>
      </w:r>
      <w:r>
        <w:rPr>
          <w:b/>
          <w:bCs/>
          <w:color w:val="8C6D46"/>
        </w:rPr>
        <w:t xml:space="preserve">MUST</w:t>
      </w:r>
      <w:r>
        <w:t xml:space="preserve"> treat every path as untrusted input and </w:t>
      </w:r>
      <w:r>
        <w:rPr>
          <w:b/>
          <w:bCs/>
          <w:color w:val="8C6D46"/>
        </w:rPr>
        <w:t xml:space="preserve">MUST</w:t>
      </w:r>
      <w:r>
        <w:t xml:space="preserve"> reject absolute paths and traversal segments before extraction. The ZIP container is a well-known vector for path traversal.</w:t>
      </w:r>
    </w:p>
    <w:p>
      <w:pPr>
        <w:pStyle w:val="BulletCopy"/>
        <w:numPr>
          <w:ilvl w:val="0"/>
          <w:numId w:val="2"/>
        </w:numPr>
      </w:pPr>
      <w:r>
        <w:t xml:space="preserve">An importer </w:t>
      </w:r>
      <w:r>
        <w:rPr>
          <w:b/>
          <w:bCs/>
          <w:color w:val="8C6D46"/>
        </w:rPr>
        <w:t xml:space="preserve">MUST</w:t>
      </w:r>
      <w:r>
        <w:t xml:space="preserve"> verify digests before ingestion and </w:t>
      </w:r>
      <w:r>
        <w:rPr>
          <w:b/>
          <w:bCs/>
          <w:color w:val="8C6D46"/>
        </w:rPr>
        <w:t xml:space="preserve">MUST</w:t>
      </w:r>
      <w:r>
        <w:t xml:space="preserve"> bound the resources it will expend, since neither entity count nor decompressed size is constrained by this standard.</w:t>
      </w:r>
    </w:p>
    <w:p>
      <w:pPr>
        <w:pStyle w:val="BulletCopy"/>
        <w:numPr>
          <w:ilvl w:val="0"/>
          <w:numId w:val="2"/>
        </w:numPr>
      </w:pPr>
      <w:r>
        <w:t xml:space="preserve">An importer </w:t>
      </w:r>
      <w:r>
        <w:rPr>
          <w:b/>
          <w:bCs/>
          <w:color w:val="8C6D46"/>
        </w:rPr>
        <w:t xml:space="preserve">MUST</w:t>
      </w:r>
      <w:r>
        <w:t xml:space="preserve"> bound the size of an inline </w:t>
      </w:r>
      <w:r>
        <w:rPr>
          <w:rFonts w:ascii="Consolas" w:cs="Consolas" w:eastAsia="Consolas" w:hAnsi="Consolas"/>
          <w:color w:val="1A1D21"/>
          <w:sz w:val="18"/>
          <w:szCs w:val="18"/>
          <w:shd w:fill="F2F1ED" w:color="auto" w:val="clear"/>
        </w:rPr>
        <w:t xml:space="preserve">figure</w:t>
      </w:r>
      <w:r>
        <w:t xml:space="preserve"> payload it will parse, and </w:t>
      </w:r>
      <w:r>
        <w:rPr>
          <w:b/>
          <w:bCs/>
          <w:color w:val="8C6D46"/>
        </w:rPr>
        <w:t xml:space="preserve">MUST NOT</w:t>
      </w:r>
      <w:r>
        <w:t xml:space="preserve"> execute script, resolve external references, or fetch remote content from a figure. A neutral vector payload is data, not a document.</w:t>
      </w:r>
    </w:p>
    <w:p>
      <w:pPr>
        <w:pStyle w:val="Heading2"/>
      </w:pPr>
      <w:r>
        <w:rPr>
          <w:color w:val="8C6D46"/>
        </w:rPr>
        <w:t xml:space="preserve">19.4</w:t>
      </w:r>
      <w:r>
        <w:t xml:space="preserve">  </w:t>
      </w:r>
      <w:r>
        <w:t xml:space="preserve">Personal data</w:t>
      </w:r>
    </w:p>
    <w:p>
      <w:pPr>
        <w:pStyle w:val="BodyCopy"/>
      </w:pPr>
      <w:r>
        <w:t xml:space="preserve">A building model is not intended to contain personal data, but four constructs commonly do: parties name individuals; provenance names who asserted what; knowledge notes record what individuals observed and decided; and events name who acted, at what time. Occupancy-related points and schedules can also reveal the movements of identifiable people in small tenancies.</w:t>
      </w:r>
    </w:p>
    <w:p>
      <w:pPr>
        <w:pStyle w:val="BodyCopy"/>
      </w:pPr>
      <w:r>
        <w:t xml:space="preserve">An exporter </w:t>
      </w:r>
      <w:r>
        <w:rPr>
          <w:b/>
          <w:bCs/>
          <w:color w:val="8C6D46"/>
        </w:rPr>
        <w:t xml:space="preserve">MUST</w:t>
      </w:r>
      <w:r>
        <w:t xml:space="preserve"> provide a means to withhold personal data and </w:t>
      </w:r>
      <w:r>
        <w:rPr>
          <w:b/>
          <w:bCs/>
          <w:color w:val="8C6D46"/>
        </w:rPr>
        <w:t xml:space="preserve">MUST</w:t>
      </w:r>
      <w:r>
        <w:t xml:space="preserve"> declare any withholding with reason </w:t>
      </w:r>
      <w:r>
        <w:rPr>
          <w:rFonts w:ascii="Consolas" w:cs="Consolas" w:eastAsia="Consolas" w:hAnsi="Consolas"/>
          <w:color w:val="1A1D21"/>
          <w:sz w:val="18"/>
          <w:szCs w:val="18"/>
          <w:shd w:fill="F2F1ED" w:color="auto" w:val="clear"/>
        </w:rPr>
        <w:t xml:space="preserve">excludedForConfidentiality</w:t>
      </w:r>
      <w:r>
        <w:t xml:space="preserve">. It </w:t>
      </w:r>
      <w:r>
        <w:rPr>
          <w:b/>
          <w:bCs/>
          <w:color w:val="8C6D46"/>
        </w:rPr>
        <w:t xml:space="preserve">MUST NOT</w:t>
      </w:r>
      <w:r>
        <w:t xml:space="preserve"> silently redact, because an undeclared redaction is indistinguishable to a receiver from an assertion that was never made.</w:t>
      </w:r>
    </w:p>
    <w:p>
      <w:pPr>
        <w:pStyle w:val="NoteCopy"/>
      </w:pPr>
      <w:r>
        <w:rPr>
          <w:b/>
          <w:bCs/>
          <w:color w:val="70757C"/>
          <w:sz w:val="18"/>
          <w:szCs w:val="18"/>
        </w:rPr>
        <w:t xml:space="preserve">NOTE </w:t>
      </w:r>
      <w:r>
        <w:rPr>
          <w:color w:val="70757C"/>
          <w:sz w:val="18"/>
          <w:szCs w:val="18"/>
        </w:rPr>
        <w:t xml:space="preserve">This creates real tension with clause 14. Provenance is most valuable when it names a person and least compliant when it does. The standard resolves the tension by making withholding visible rather than by preferring either side; an owner configuring an export is making a judgment this document cannot make for them.</w:t>
      </w:r>
    </w:p>
    <w:p>
      <w:pPr>
        <w:pStyle w:val="Heading2"/>
      </w:pPr>
      <w:r>
        <w:rPr>
          <w:color w:val="8C6D46"/>
        </w:rPr>
        <w:t xml:space="preserve">19.5</w:t>
      </w:r>
      <w:r>
        <w:t xml:space="preserve">  </w:t>
      </w:r>
      <w:r>
        <w:t xml:space="preserve">Regulatory context</w:t>
      </w:r>
    </w:p>
    <w:p>
      <w:pPr>
        <w:pStyle w:val="BodyCopy"/>
      </w:pPr>
      <w:r>
        <w:t xml:space="preserve">This standard is voluntary and confers no rights. Regulation (EU) 2023/2854, the Data Act, has since 12 September 2025 given users of connected products a right of access to data those products generate and a right to direct it to a third party; commentary treats building management equipment as within scope. A conforming exporter is a practical means of satisfying such a request. It is not evidence of compliance with it, and the two should not be conflated in marketing.</w:t>
      </w:r>
    </w:p>
    <w:p>
      <w:pPr>
        <w:pStyle w:val="Heading1"/>
      </w:pPr>
      <w:r>
        <w:rPr>
          <w:rFonts w:ascii="Georgia" w:cs="Georgia" w:eastAsia="Georgia" w:hAnsi="Georgia"/>
          <w:color w:val="8C6D46"/>
        </w:rPr>
        <w:t xml:space="preserve">20</w:t>
      </w:r>
      <w:r>
        <w:t xml:space="preserve">  </w:t>
      </w:r>
      <w:r>
        <w:t xml:space="preserve">Relationship to existing work</w:t>
      </w:r>
    </w:p>
    <w:p>
      <w:pPr>
        <w:pStyle w:val="MetaNote"/>
      </w:pPr>
      <w:r>
        <w:t xml:space="preserve">This clause is informative. Statuses were verified in July 2026 and will age.</w:t>
      </w:r>
    </w:p>
    <w:p>
      <w:pPr>
        <w:pStyle w:val="Heading2"/>
      </w:pPr>
      <w:r>
        <w:rPr>
          <w:color w:val="8C6D46"/>
        </w:rPr>
        <w:t xml:space="preserve">20.1</w:t>
      </w:r>
      <w:r>
        <w:t xml:space="preserve">  </w:t>
      </w:r>
      <w:r>
        <w:t xml:space="preserve">Position</w:t>
      </w:r>
    </w:p>
    <w:p>
      <w:pPr>
        <w:pStyle w:val="BodyCopy"/>
      </w:pPr>
      <w:r>
        <w:t xml:space="preserve">BUS-1 sits above the semantic modeling standards. It does not replace them, compete with them, or profile them. It specifies what an owner must be handed and what a receiving system must be able to reconstruct, which is a question none of them asks.</w:t>
      </w:r>
    </w:p>
    <w:p>
      <w:pPr>
        <w:pStyle w:val="BodyCopy"/>
      </w:pPr>
      <w:r>
        <w:t xml:space="preserve">Formal mappings are deliberately not part of v0.2. Publishing a mapping to a specification that is itself unpublished or pre-release would bind this standard to another body’s schedule, and 7.7 preserves external classifications losslessly without one.</w:t>
      </w:r>
    </w:p>
    <w:p>
      <w:pPr>
        <w:pStyle w:val="Heading2"/>
      </w:pPr>
      <w:r>
        <w:rPr>
          <w:color w:val="8C6D46"/>
        </w:rPr>
        <w:t xml:space="preserve">20.2</w:t>
      </w:r>
      <w:r>
        <w:t xml:space="preserve">  </w:t>
      </w:r>
      <w:r>
        <w:t xml:space="preserve">The semantic modeling standards</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2100"/>
        <w:gridCol w:w="3300"/>
        <w:gridCol w:w="3672"/>
      </w:tblGrid>
      <w:tr>
        <w:trPr>
          <w:cantSplit/>
          <w:tblHeader/>
        </w:trPr>
        <w:tc>
          <w:tcPr>
            <w:tcW w:type="dxa" w:w="21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Standard</w:t>
            </w:r>
          </w:p>
        </w:tc>
        <w:tc>
          <w:tcPr>
            <w:tcW w:type="dxa" w:w="33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Status, July 2026</w:t>
            </w:r>
          </w:p>
        </w:tc>
        <w:tc>
          <w:tcPr>
            <w:tcW w:type="dxa" w:w="36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Relationship</w:t>
            </w:r>
          </w:p>
        </w:tc>
      </w:tr>
      <w:tr>
        <w:trPr>
          <w:cantSplit/>
        </w:trPr>
        <w:tc>
          <w:tcPr>
            <w:tcW w:type="dxa" w:w="2100"/>
            <w:shd w:fill="FFFFFF" w:color="auto" w:val="clear"/>
            <w:tcMar>
              <w:top w:type="dxa" w:w="120"/>
              <w:left w:type="dxa" w:w="160"/>
              <w:bottom w:type="dxa" w:w="120"/>
              <w:right w:type="dxa" w:w="160"/>
            </w:tcMar>
            <w:vAlign w:val="top"/>
          </w:tcPr>
          <w:p>
            <w:pPr>
              <w:spacing w:after="0" w:line="260"/>
            </w:pPr>
            <w:r>
              <w:rPr>
                <w:sz w:val="18"/>
                <w:szCs w:val="18"/>
              </w:rPr>
              <w:t xml:space="preserve">ASHRAE SPC 223P</w:t>
            </w:r>
          </w:p>
        </w:tc>
        <w:tc>
          <w:tcPr>
            <w:tcW w:type="dxa" w:w="3300"/>
            <w:shd w:fill="FFFFFF" w:color="auto" w:val="clear"/>
            <w:tcMar>
              <w:top w:type="dxa" w:w="120"/>
              <w:left w:type="dxa" w:w="160"/>
              <w:bottom w:type="dxa" w:w="120"/>
              <w:right w:type="dxa" w:w="160"/>
            </w:tcMar>
            <w:vAlign w:val="top"/>
          </w:tcPr>
          <w:p>
            <w:pPr>
              <w:spacing w:after="0" w:line="260"/>
            </w:pPr>
            <w:r>
              <w:rPr>
                <w:sz w:val="18"/>
                <w:szCs w:val="18"/>
              </w:rPr>
              <w:t xml:space="preserve">Project committee, unpublished. Second advisory public review closed August 2025. Models type, topology, composition, telemetry linkage, characteristics, in RDF.</w:t>
            </w:r>
          </w:p>
        </w:tc>
        <w:tc>
          <w:tcPr>
            <w:tcW w:type="dxa" w:w="3672"/>
            <w:shd w:fill="FFFFFF" w:color="auto" w:val="clear"/>
            <w:tcMar>
              <w:top w:type="dxa" w:w="120"/>
              <w:left w:type="dxa" w:w="160"/>
              <w:bottom w:type="dxa" w:w="120"/>
              <w:right w:type="dxa" w:w="160"/>
            </w:tcMar>
            <w:vAlign w:val="top"/>
          </w:tcPr>
          <w:p>
            <w:pPr>
              <w:spacing w:after="0" w:line="260"/>
            </w:pPr>
            <w:r>
              <w:rPr>
                <w:sz w:val="18"/>
                <w:szCs w:val="18"/>
              </w:rPr>
              <w:t xml:space="preserve">Complementary. No intent, knowledge, geometry, graphics, alarms, events, or exchange package. Its classes are a natural </w:t>
            </w:r>
            <w:r>
              <w:rPr>
                <w:rFonts w:ascii="Consolas" w:cs="Consolas" w:eastAsia="Consolas" w:hAnsi="Consolas"/>
                <w:color w:val="1A1D21"/>
                <w:sz w:val="15"/>
                <w:szCs w:val="15"/>
                <w:shd w:fill="F2F1ED" w:color="auto" w:val="clear"/>
              </w:rPr>
              <w:t xml:space="preserve">classification</w:t>
            </w:r>
            <w:r>
              <w:rPr>
                <w:sz w:val="18"/>
                <w:szCs w:val="18"/>
              </w:rPr>
              <w:t xml:space="preserve"> value.</w:t>
            </w:r>
          </w:p>
        </w:tc>
      </w:tr>
      <w:tr>
        <w:trPr>
          <w:cantSplit/>
        </w:trPr>
        <w:tc>
          <w:tcPr>
            <w:tcW w:type="dxa" w:w="2100"/>
            <w:shd w:fill="FAF9F6" w:color="auto" w:val="clear"/>
            <w:tcMar>
              <w:top w:type="dxa" w:w="120"/>
              <w:left w:type="dxa" w:w="160"/>
              <w:bottom w:type="dxa" w:w="120"/>
              <w:right w:type="dxa" w:w="160"/>
            </w:tcMar>
            <w:vAlign w:val="top"/>
          </w:tcPr>
          <w:p>
            <w:pPr>
              <w:spacing w:after="0" w:line="260"/>
            </w:pPr>
            <w:r>
              <w:rPr>
                <w:sz w:val="18"/>
                <w:szCs w:val="18"/>
              </w:rPr>
              <w:t xml:space="preserve">Brick Schema</w:t>
            </w:r>
          </w:p>
        </w:tc>
        <w:tc>
          <w:tcPr>
            <w:tcW w:type="dxa" w:w="3300"/>
            <w:shd w:fill="FAF9F6" w:color="auto" w:val="clear"/>
            <w:tcMar>
              <w:top w:type="dxa" w:w="120"/>
              <w:left w:type="dxa" w:w="160"/>
              <w:bottom w:type="dxa" w:w="120"/>
              <w:right w:type="dxa" w:w="160"/>
            </w:tcMar>
            <w:vAlign w:val="top"/>
          </w:tcPr>
          <w:p>
            <w:pPr>
              <w:spacing w:after="0" w:line="260"/>
            </w:pPr>
            <w:r>
              <w:rPr>
                <w:sz w:val="18"/>
                <w:szCs w:val="18"/>
              </w:rPr>
              <w:t xml:space="preserve">v1.4.4 stable, v1.5.0-rc1 pre-release. Brick Consortium, not a standards development organization.</w:t>
            </w:r>
          </w:p>
        </w:tc>
        <w:tc>
          <w:tcPr>
            <w:tcW w:type="dxa" w:w="3672"/>
            <w:shd w:fill="FAF9F6" w:color="auto" w:val="clear"/>
            <w:tcMar>
              <w:top w:type="dxa" w:w="120"/>
              <w:left w:type="dxa" w:w="160"/>
              <w:bottom w:type="dxa" w:w="120"/>
              <w:right w:type="dxa" w:w="160"/>
            </w:tcMar>
            <w:vAlign w:val="top"/>
          </w:tcPr>
          <w:p>
            <w:pPr>
              <w:spacing w:after="0" w:line="260"/>
            </w:pPr>
            <w:r>
              <w:rPr>
                <w:sz w:val="18"/>
                <w:szCs w:val="18"/>
              </w:rPr>
              <w:t xml:space="preserve">Complementary. Equipment and point taxonomy, carried in </w:t>
            </w:r>
            <w:r>
              <w:rPr>
                <w:rFonts w:ascii="Consolas" w:cs="Consolas" w:eastAsia="Consolas" w:hAnsi="Consolas"/>
                <w:color w:val="1A1D21"/>
                <w:sz w:val="15"/>
                <w:szCs w:val="15"/>
                <w:shd w:fill="F2F1ED" w:color="auto" w:val="clear"/>
              </w:rPr>
              <w:t xml:space="preserve">classifications</w:t>
            </w:r>
            <w:r>
              <w:rPr>
                <w:sz w:val="18"/>
                <w:szCs w:val="18"/>
              </w:rPr>
              <w:t xml:space="preserve">.</w:t>
            </w:r>
          </w:p>
        </w:tc>
      </w:tr>
      <w:tr>
        <w:trPr>
          <w:cantSplit/>
        </w:trPr>
        <w:tc>
          <w:tcPr>
            <w:tcW w:type="dxa" w:w="2100"/>
            <w:shd w:fill="FFFFFF" w:color="auto" w:val="clear"/>
            <w:tcMar>
              <w:top w:type="dxa" w:w="120"/>
              <w:left w:type="dxa" w:w="160"/>
              <w:bottom w:type="dxa" w:w="120"/>
              <w:right w:type="dxa" w:w="160"/>
            </w:tcMar>
            <w:vAlign w:val="top"/>
          </w:tcPr>
          <w:p>
            <w:pPr>
              <w:spacing w:after="0" w:line="260"/>
            </w:pPr>
            <w:r>
              <w:rPr>
                <w:sz w:val="18"/>
                <w:szCs w:val="18"/>
              </w:rPr>
              <w:t xml:space="preserve">Project Haystack</w:t>
            </w:r>
          </w:p>
        </w:tc>
        <w:tc>
          <w:tcPr>
            <w:tcW w:type="dxa" w:w="3300"/>
            <w:shd w:fill="FFFFFF" w:color="auto" w:val="clear"/>
            <w:tcMar>
              <w:top w:type="dxa" w:w="120"/>
              <w:left w:type="dxa" w:w="160"/>
              <w:bottom w:type="dxa" w:w="120"/>
              <w:right w:type="dxa" w:w="160"/>
            </w:tcMar>
            <w:vAlign w:val="top"/>
          </w:tcPr>
          <w:p>
            <w:pPr>
              <w:spacing w:after="0" w:line="260"/>
            </w:pPr>
            <w:r>
              <w:rPr>
                <w:sz w:val="18"/>
                <w:szCs w:val="18"/>
              </w:rPr>
              <w:t xml:space="preserve">Version 4.0.0 is the current published defs release. Haystack 5 with Xeto announced 2025, unreleased.</w:t>
            </w:r>
          </w:p>
        </w:tc>
        <w:tc>
          <w:tcPr>
            <w:tcW w:type="dxa" w:w="3672"/>
            <w:shd w:fill="FFFFFF" w:color="auto" w:val="clear"/>
            <w:tcMar>
              <w:top w:type="dxa" w:w="120"/>
              <w:left w:type="dxa" w:w="160"/>
              <w:bottom w:type="dxa" w:w="120"/>
              <w:right w:type="dxa" w:w="160"/>
            </w:tcMar>
            <w:vAlign w:val="top"/>
          </w:tcPr>
          <w:p>
            <w:pPr>
              <w:spacing w:after="0" w:line="260"/>
            </w:pPr>
            <w:r>
              <w:rPr>
                <w:sz w:val="18"/>
                <w:szCs w:val="18"/>
              </w:rPr>
              <w:t xml:space="preserve">Complementary. Tag vocabulary in </w:t>
            </w:r>
            <w:r>
              <w:rPr>
                <w:rFonts w:ascii="Consolas" w:cs="Consolas" w:eastAsia="Consolas" w:hAnsi="Consolas"/>
                <w:color w:val="1A1D21"/>
                <w:sz w:val="15"/>
                <w:szCs w:val="15"/>
                <w:shd w:fill="F2F1ED" w:color="auto" w:val="clear"/>
              </w:rPr>
              <w:t xml:space="preserve">classifications</w:t>
            </w:r>
            <w:r>
              <w:rPr>
                <w:sz w:val="18"/>
                <w:szCs w:val="18"/>
              </w:rPr>
              <w:t xml:space="preserve">. Five serializations, two explicitly lossy, and no package concept.</w:t>
            </w:r>
          </w:p>
        </w:tc>
      </w:tr>
      <w:tr>
        <w:trPr>
          <w:cantSplit/>
        </w:trPr>
        <w:tc>
          <w:tcPr>
            <w:tcW w:type="dxa" w:w="2100"/>
            <w:shd w:fill="FAF9F6" w:color="auto" w:val="clear"/>
            <w:tcMar>
              <w:top w:type="dxa" w:w="120"/>
              <w:left w:type="dxa" w:w="160"/>
              <w:bottom w:type="dxa" w:w="120"/>
              <w:right w:type="dxa" w:w="160"/>
            </w:tcMar>
            <w:vAlign w:val="top"/>
          </w:tcPr>
          <w:p>
            <w:pPr>
              <w:spacing w:after="0" w:line="260"/>
            </w:pPr>
            <w:r>
              <w:rPr>
                <w:sz w:val="18"/>
                <w:szCs w:val="18"/>
              </w:rPr>
              <w:t xml:space="preserve">RealEstateCore</w:t>
            </w:r>
          </w:p>
        </w:tc>
        <w:tc>
          <w:tcPr>
            <w:tcW w:type="dxa" w:w="3300"/>
            <w:shd w:fill="FAF9F6" w:color="auto" w:val="clear"/>
            <w:tcMar>
              <w:top w:type="dxa" w:w="120"/>
              <w:left w:type="dxa" w:w="160"/>
              <w:bottom w:type="dxa" w:w="120"/>
              <w:right w:type="dxa" w:w="160"/>
            </w:tcMar>
            <w:vAlign w:val="top"/>
          </w:tcPr>
          <w:p>
            <w:pPr>
              <w:spacing w:after="0" w:line="260"/>
            </w:pPr>
            <w:r>
              <w:rPr>
                <w:sz w:val="18"/>
                <w:szCs w:val="18"/>
              </w:rPr>
              <w:t xml:space="preserve">v4.0.0, distributed inside Brick releases. Harmonized, not merged.</w:t>
            </w:r>
          </w:p>
        </w:tc>
        <w:tc>
          <w:tcPr>
            <w:tcW w:type="dxa" w:w="3672"/>
            <w:shd w:fill="FAF9F6" w:color="auto" w:val="clear"/>
            <w:tcMar>
              <w:top w:type="dxa" w:w="120"/>
              <w:left w:type="dxa" w:w="160"/>
              <w:bottom w:type="dxa" w:w="120"/>
              <w:right w:type="dxa" w:w="160"/>
            </w:tcMar>
            <w:vAlign w:val="top"/>
          </w:tcPr>
          <w:p>
            <w:pPr>
              <w:spacing w:after="0" w:line="260"/>
            </w:pPr>
            <w:r>
              <w:rPr>
                <w:sz w:val="18"/>
                <w:szCs w:val="18"/>
              </w:rPr>
              <w:t xml:space="preserve">Complementary. Spatial and real-estate concepts, plus the only native geometry among these.</w:t>
            </w:r>
          </w:p>
        </w:tc>
      </w:tr>
      <w:tr>
        <w:trPr>
          <w:cantSplit/>
        </w:trPr>
        <w:tc>
          <w:tcPr>
            <w:tcW w:type="dxa" w:w="2100"/>
            <w:shd w:fill="FFFFFF" w:color="auto" w:val="clear"/>
            <w:tcMar>
              <w:top w:type="dxa" w:w="120"/>
              <w:left w:type="dxa" w:w="160"/>
              <w:bottom w:type="dxa" w:w="120"/>
              <w:right w:type="dxa" w:w="160"/>
            </w:tcMar>
            <w:vAlign w:val="top"/>
          </w:tcPr>
          <w:p>
            <w:pPr>
              <w:spacing w:after="0" w:line="260"/>
            </w:pPr>
            <w:r>
              <w:rPr>
                <w:sz w:val="18"/>
                <w:szCs w:val="18"/>
              </w:rPr>
              <w:t xml:space="preserve">ISO 16739-1:2024 (IFC)</w:t>
            </w:r>
          </w:p>
        </w:tc>
        <w:tc>
          <w:tcPr>
            <w:tcW w:type="dxa" w:w="3300"/>
            <w:shd w:fill="FFFFFF" w:color="auto" w:val="clear"/>
            <w:tcMar>
              <w:top w:type="dxa" w:w="120"/>
              <w:left w:type="dxa" w:w="160"/>
              <w:bottom w:type="dxa" w:w="120"/>
              <w:right w:type="dxa" w:w="160"/>
            </w:tcMar>
            <w:vAlign w:val="top"/>
          </w:tcPr>
          <w:p>
            <w:pPr>
              <w:spacing w:after="0" w:line="260"/>
            </w:pPr>
            <w:r>
              <w:rPr>
                <w:sz w:val="18"/>
                <w:szCs w:val="18"/>
              </w:rPr>
              <w:t xml:space="preserve">Second edition, March 2024, schema IFC 4.3.2.0.</w:t>
            </w:r>
          </w:p>
        </w:tc>
        <w:tc>
          <w:tcPr>
            <w:tcW w:type="dxa" w:w="3672"/>
            <w:shd w:fill="FFFFFF" w:color="auto" w:val="clear"/>
            <w:tcMar>
              <w:top w:type="dxa" w:w="120"/>
              <w:left w:type="dxa" w:w="160"/>
              <w:bottom w:type="dxa" w:w="120"/>
              <w:right w:type="dxa" w:w="160"/>
            </w:tcMar>
            <w:vAlign w:val="top"/>
          </w:tcPr>
          <w:p>
            <w:pPr>
              <w:spacing w:after="0" w:line="260"/>
            </w:pPr>
            <w:r>
              <w:rPr>
                <w:sz w:val="18"/>
                <w:szCs w:val="18"/>
              </w:rPr>
              <w:t xml:space="preserve">Adjacent. Design and handover with 3D geometry BUS-1 does not carry. No telemetry, no point addressing; </w:t>
            </w:r>
            <w:r>
              <w:rPr>
                <w:rFonts w:ascii="Consolas" w:cs="Consolas" w:eastAsia="Consolas" w:hAnsi="Consolas"/>
                <w:color w:val="1A1D21"/>
                <w:sz w:val="15"/>
                <w:szCs w:val="15"/>
                <w:shd w:fill="F2F1ED" w:color="auto" w:val="clear"/>
              </w:rPr>
              <w:t xml:space="preserve">ControlElementId</w:t>
            </w:r>
            <w:r>
              <w:rPr>
                <w:sz w:val="18"/>
                <w:szCs w:val="18"/>
              </w:rPr>
              <w:t xml:space="preserve"> was removed in IFC4.</w:t>
            </w:r>
          </w:p>
        </w:tc>
      </w:tr>
      <w:tr>
        <w:trPr>
          <w:cantSplit/>
        </w:trPr>
        <w:tc>
          <w:tcPr>
            <w:tcW w:type="dxa" w:w="2100"/>
            <w:shd w:fill="FAF9F6" w:color="auto" w:val="clear"/>
            <w:tcMar>
              <w:top w:type="dxa" w:w="120"/>
              <w:left w:type="dxa" w:w="160"/>
              <w:bottom w:type="dxa" w:w="120"/>
              <w:right w:type="dxa" w:w="160"/>
            </w:tcMar>
            <w:vAlign w:val="top"/>
          </w:tcPr>
          <w:p>
            <w:pPr>
              <w:spacing w:after="0" w:line="260"/>
            </w:pPr>
            <w:r>
              <w:rPr>
                <w:sz w:val="18"/>
                <w:szCs w:val="18"/>
              </w:rPr>
              <w:t xml:space="preserve">ANSI/ASHRAE 135-2024 (BACnet)</w:t>
            </w:r>
          </w:p>
        </w:tc>
        <w:tc>
          <w:tcPr>
            <w:tcW w:type="dxa" w:w="3300"/>
            <w:shd w:fill="FAF9F6" w:color="auto" w:val="clear"/>
            <w:tcMar>
              <w:top w:type="dxa" w:w="120"/>
              <w:left w:type="dxa" w:w="160"/>
              <w:bottom w:type="dxa" w:w="120"/>
              <w:right w:type="dxa" w:w="160"/>
            </w:tcMar>
            <w:vAlign w:val="top"/>
          </w:tcPr>
          <w:p>
            <w:pPr>
              <w:spacing w:after="0" w:line="260"/>
            </w:pPr>
            <w:r>
              <w:rPr>
                <w:sz w:val="18"/>
                <w:szCs w:val="18"/>
              </w:rPr>
              <w:t xml:space="preserve">Protocol Revision 31. Addendum 135-2012ba added a </w:t>
            </w:r>
            <w:r>
              <w:rPr>
                <w:rFonts w:ascii="Consolas" w:cs="Consolas" w:eastAsia="Consolas" w:hAnsi="Consolas"/>
                <w:color w:val="1A1D21"/>
                <w:sz w:val="15"/>
                <w:szCs w:val="15"/>
                <w:shd w:fill="F2F1ED" w:color="auto" w:val="clear"/>
              </w:rPr>
              <w:t xml:space="preserve">Tags</w:t>
            </w:r>
            <w:r>
              <w:rPr>
                <w:sz w:val="18"/>
                <w:szCs w:val="18"/>
              </w:rPr>
              <w:t xml:space="preserve"> property in 2016.</w:t>
            </w:r>
          </w:p>
        </w:tc>
        <w:tc>
          <w:tcPr>
            <w:tcW w:type="dxa" w:w="3672"/>
            <w:shd w:fill="FAF9F6" w:color="auto" w:val="clear"/>
            <w:tcMar>
              <w:top w:type="dxa" w:w="120"/>
              <w:left w:type="dxa" w:w="160"/>
              <w:bottom w:type="dxa" w:w="120"/>
              <w:right w:type="dxa" w:w="160"/>
            </w:tcMar>
            <w:vAlign w:val="top"/>
          </w:tcPr>
          <w:p>
            <w:pPr>
              <w:spacing w:after="0" w:line="260"/>
            </w:pPr>
            <w:r>
              <w:rPr>
                <w:sz w:val="18"/>
                <w:szCs w:val="18"/>
              </w:rPr>
              <w:t xml:space="preserve">Below. Its tag mechanism defines a container and no vocabulary, and it has no bulk export or configuration portability.</w:t>
            </w:r>
          </w:p>
        </w:tc>
      </w:tr>
      <w:tr>
        <w:trPr>
          <w:cantSplit/>
        </w:trPr>
        <w:tc>
          <w:tcPr>
            <w:tcW w:type="dxa" w:w="2100"/>
            <w:shd w:fill="FFFFFF" w:color="auto" w:val="clear"/>
            <w:tcMar>
              <w:top w:type="dxa" w:w="120"/>
              <w:left w:type="dxa" w:w="160"/>
              <w:bottom w:type="dxa" w:w="120"/>
              <w:right w:type="dxa" w:w="160"/>
            </w:tcMar>
            <w:vAlign w:val="top"/>
          </w:tcPr>
          <w:p>
            <w:pPr>
              <w:spacing w:after="0" w:line="260"/>
            </w:pPr>
            <w:r>
              <w:rPr>
                <w:sz w:val="18"/>
                <w:szCs w:val="18"/>
              </w:rPr>
              <w:t xml:space="preserve">ANSI/ASHRAE 231-2026 (CDL)</w:t>
            </w:r>
          </w:p>
        </w:tc>
        <w:tc>
          <w:tcPr>
            <w:tcW w:type="dxa" w:w="3300"/>
            <w:shd w:fill="FFFFFF" w:color="auto" w:val="clear"/>
            <w:tcMar>
              <w:top w:type="dxa" w:w="120"/>
              <w:left w:type="dxa" w:w="160"/>
              <w:bottom w:type="dxa" w:w="120"/>
              <w:right w:type="dxa" w:w="160"/>
            </w:tcMar>
            <w:vAlign w:val="top"/>
          </w:tcPr>
          <w:p>
            <w:pPr>
              <w:spacing w:after="0" w:line="260"/>
            </w:pPr>
            <w:r>
              <w:rPr>
                <w:sz w:val="18"/>
                <w:szCs w:val="18"/>
              </w:rPr>
              <w:t xml:space="preserve">Published February 2026.</w:t>
            </w:r>
          </w:p>
        </w:tc>
        <w:tc>
          <w:tcPr>
            <w:tcW w:type="dxa" w:w="3672"/>
            <w:shd w:fill="FFFFFF" w:color="auto" w:val="clear"/>
            <w:tcMar>
              <w:top w:type="dxa" w:w="120"/>
              <w:left w:type="dxa" w:w="160"/>
              <w:bottom w:type="dxa" w:w="120"/>
              <w:right w:type="dxa" w:w="160"/>
            </w:tcMar>
            <w:vAlign w:val="top"/>
          </w:tcPr>
          <w:p>
            <w:pPr>
              <w:spacing w:after="0" w:line="260"/>
            </w:pPr>
            <w:r>
              <w:rPr>
                <w:sz w:val="18"/>
                <w:szCs w:val="18"/>
              </w:rPr>
              <w:t xml:space="preserve">Adjacent. Design-time control description. Referenced by </w:t>
            </w:r>
            <w:r>
              <w:rPr>
                <w:rFonts w:ascii="Consolas" w:cs="Consolas" w:eastAsia="Consolas" w:hAnsi="Consolas"/>
                <w:color w:val="1A1D21"/>
                <w:sz w:val="15"/>
                <w:szCs w:val="15"/>
                <w:shd w:fill="F2F1ED" w:color="auto" w:val="clear"/>
              </w:rPr>
              <w:t xml:space="preserve">bus:Sequence</w:t>
            </w:r>
            <w:r>
              <w:rPr>
                <w:sz w:val="18"/>
                <w:szCs w:val="18"/>
              </w:rPr>
              <w:t xml:space="preserve">, not extracted.</w:t>
            </w:r>
          </w:p>
        </w:tc>
      </w:tr>
    </w:tbl>
    <w:p>
      <w:pPr>
        <w:pStyle w:val="Heading2"/>
      </w:pPr>
      <w:r>
        <w:rPr>
          <w:color w:val="8C6D46"/>
        </w:rPr>
        <w:t xml:space="preserve">20.3</w:t>
      </w:r>
      <w:r>
        <w:t xml:space="preserve">  </w:t>
      </w:r>
      <w:r>
        <w:t xml:space="preserve">The portability gap</w:t>
      </w:r>
    </w:p>
    <w:p>
      <w:pPr>
        <w:pStyle w:val="BodyCopy"/>
      </w:pPr>
      <w:r>
        <w:t xml:space="preserve">No standard, in any body, requires a building technology vendor to hand over a reconstitutable package of a building’s operational system, and none defines what such a package would contain.</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3400"/>
        <w:gridCol w:w="2800"/>
        <w:gridCol w:w="2872"/>
      </w:tblGrid>
      <w:tr>
        <w:trPr>
          <w:cantSplit/>
          <w:tblHeader/>
        </w:trPr>
        <w:tc>
          <w:tcPr>
            <w:tcW w:type="dxa" w:w="34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Component of an exit package</w:t>
            </w:r>
          </w:p>
        </w:tc>
        <w:tc>
          <w:tcPr>
            <w:tcW w:type="dxa" w:w="28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Can be serialized by</w:t>
            </w:r>
          </w:p>
        </w:tc>
        <w:tc>
          <w:tcPr>
            <w:tcW w:type="dxa" w:w="28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Compelled by</w:t>
            </w:r>
          </w:p>
        </w:tc>
      </w:tr>
      <w:tr>
        <w:trPr>
          <w:cantSplit/>
        </w:trPr>
        <w:tc>
          <w:tcPr>
            <w:tcW w:type="dxa" w:w="3400"/>
            <w:shd w:fill="FFFFFF" w:color="auto" w:val="clear"/>
            <w:tcMar>
              <w:top w:type="dxa" w:w="120"/>
              <w:left w:type="dxa" w:w="160"/>
              <w:bottom w:type="dxa" w:w="120"/>
              <w:right w:type="dxa" w:w="160"/>
            </w:tcMar>
            <w:vAlign w:val="top"/>
          </w:tcPr>
          <w:p>
            <w:pPr>
              <w:spacing w:after="0" w:line="260"/>
            </w:pPr>
            <w:r>
              <w:rPr>
                <w:sz w:val="18"/>
                <w:szCs w:val="18"/>
              </w:rPr>
              <w:t xml:space="preserve">Point and asset model</w:t>
            </w:r>
          </w:p>
        </w:tc>
        <w:tc>
          <w:tcPr>
            <w:tcW w:type="dxa" w:w="2800"/>
            <w:shd w:fill="FFFFFF" w:color="auto" w:val="clear"/>
            <w:tcMar>
              <w:top w:type="dxa" w:w="120"/>
              <w:left w:type="dxa" w:w="160"/>
              <w:bottom w:type="dxa" w:w="120"/>
              <w:right w:type="dxa" w:w="160"/>
            </w:tcMar>
            <w:vAlign w:val="top"/>
          </w:tcPr>
          <w:p>
            <w:pPr>
              <w:spacing w:after="0" w:line="260"/>
            </w:pPr>
            <w:r>
              <w:rPr>
                <w:sz w:val="18"/>
                <w:szCs w:val="18"/>
              </w:rPr>
              <w:t xml:space="preserve">Brick, Haystack, 223P</w:t>
            </w:r>
          </w:p>
        </w:tc>
        <w:tc>
          <w:tcPr>
            <w:tcW w:type="dxa" w:w="2872"/>
            <w:shd w:fill="FFFFFF" w:color="auto" w:val="clear"/>
            <w:tcMar>
              <w:top w:type="dxa" w:w="120"/>
              <w:left w:type="dxa" w:w="160"/>
              <w:bottom w:type="dxa" w:w="120"/>
              <w:right w:type="dxa" w:w="160"/>
            </w:tcMar>
            <w:vAlign w:val="top"/>
          </w:tcPr>
          <w:p>
            <w:pPr>
              <w:spacing w:after="0" w:line="260"/>
            </w:pPr>
            <w:r>
              <w:rPr>
                <w:sz w:val="18"/>
                <w:szCs w:val="18"/>
              </w:rPr>
              <w:t xml:space="preserve">nothing</w:t>
            </w:r>
          </w:p>
        </w:tc>
      </w:tr>
      <w:tr>
        <w:trPr>
          <w:cantSplit/>
        </w:trPr>
        <w:tc>
          <w:tcPr>
            <w:tcW w:type="dxa" w:w="3400"/>
            <w:shd w:fill="FAF9F6" w:color="auto" w:val="clear"/>
            <w:tcMar>
              <w:top w:type="dxa" w:w="120"/>
              <w:left w:type="dxa" w:w="160"/>
              <w:bottom w:type="dxa" w:w="120"/>
              <w:right w:type="dxa" w:w="160"/>
            </w:tcMar>
            <w:vAlign w:val="top"/>
          </w:tcPr>
          <w:p>
            <w:pPr>
              <w:spacing w:after="0" w:line="260"/>
            </w:pPr>
            <w:r>
              <w:rPr>
                <w:sz w:val="18"/>
                <w:szCs w:val="18"/>
              </w:rPr>
              <w:t xml:space="preserve">Historical time series</w:t>
            </w:r>
          </w:p>
        </w:tc>
        <w:tc>
          <w:tcPr>
            <w:tcW w:type="dxa" w:w="2800"/>
            <w:shd w:fill="FAF9F6" w:color="auto" w:val="clear"/>
            <w:tcMar>
              <w:top w:type="dxa" w:w="120"/>
              <w:left w:type="dxa" w:w="160"/>
              <w:bottom w:type="dxa" w:w="120"/>
              <w:right w:type="dxa" w:w="160"/>
            </w:tcMar>
            <w:vAlign w:val="top"/>
          </w:tcPr>
          <w:p>
            <w:pPr>
              <w:spacing w:after="0" w:line="260"/>
            </w:pPr>
            <w:r>
              <w:rPr>
                <w:sz w:val="18"/>
                <w:szCs w:val="18"/>
              </w:rPr>
              <w:t xml:space="preserve">nothing, as a package</w:t>
            </w:r>
          </w:p>
        </w:tc>
        <w:tc>
          <w:tcPr>
            <w:tcW w:type="dxa" w:w="2872"/>
            <w:shd w:fill="FAF9F6" w:color="auto" w:val="clear"/>
            <w:tcMar>
              <w:top w:type="dxa" w:w="120"/>
              <w:left w:type="dxa" w:w="160"/>
              <w:bottom w:type="dxa" w:w="120"/>
              <w:right w:type="dxa" w:w="160"/>
            </w:tcMar>
            <w:vAlign w:val="top"/>
          </w:tcPr>
          <w:p>
            <w:pPr>
              <w:spacing w:after="0" w:line="260"/>
            </w:pPr>
            <w:r>
              <w:rPr>
                <w:sz w:val="18"/>
                <w:szCs w:val="18"/>
              </w:rPr>
              <w:t xml:space="preserve">EU Data Act, partially, for device-generated data</w:t>
            </w:r>
          </w:p>
        </w:tc>
      </w:tr>
      <w:tr>
        <w:trPr>
          <w:cantSplit/>
        </w:trPr>
        <w:tc>
          <w:tcPr>
            <w:tcW w:type="dxa" w:w="3400"/>
            <w:shd w:fill="FFFFFF" w:color="auto" w:val="clear"/>
            <w:tcMar>
              <w:top w:type="dxa" w:w="120"/>
              <w:left w:type="dxa" w:w="160"/>
              <w:bottom w:type="dxa" w:w="120"/>
              <w:right w:type="dxa" w:w="160"/>
            </w:tcMar>
            <w:vAlign w:val="top"/>
          </w:tcPr>
          <w:p>
            <w:pPr>
              <w:spacing w:after="0" w:line="260"/>
            </w:pPr>
            <w:r>
              <w:rPr>
                <w:sz w:val="18"/>
                <w:szCs w:val="18"/>
              </w:rPr>
              <w:t xml:space="preserve">Graphics with bindings</w:t>
            </w:r>
          </w:p>
        </w:tc>
        <w:tc>
          <w:tcPr>
            <w:tcW w:type="dxa" w:w="2800"/>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nothing — clause 13 of this document</w:t>
            </w:r>
          </w:p>
        </w:tc>
        <w:tc>
          <w:tcPr>
            <w:tcW w:type="dxa" w:w="2872"/>
            <w:shd w:fill="FFFFFF" w:color="auto" w:val="clear"/>
            <w:tcMar>
              <w:top w:type="dxa" w:w="120"/>
              <w:left w:type="dxa" w:w="160"/>
              <w:bottom w:type="dxa" w:w="120"/>
              <w:right w:type="dxa" w:w="160"/>
            </w:tcMar>
            <w:vAlign w:val="top"/>
          </w:tcPr>
          <w:p>
            <w:pPr>
              <w:spacing w:after="0" w:line="260"/>
            </w:pPr>
            <w:r>
              <w:rPr>
                <w:sz w:val="18"/>
                <w:szCs w:val="18"/>
              </w:rPr>
              <w:t xml:space="preserve">nothing</w:t>
            </w:r>
          </w:p>
        </w:tc>
      </w:tr>
      <w:tr>
        <w:trPr>
          <w:cantSplit/>
        </w:trPr>
        <w:tc>
          <w:tcPr>
            <w:tcW w:type="dxa" w:w="3400"/>
            <w:shd w:fill="FAF9F6" w:color="auto" w:val="clear"/>
            <w:tcMar>
              <w:top w:type="dxa" w:w="120"/>
              <w:left w:type="dxa" w:w="160"/>
              <w:bottom w:type="dxa" w:w="120"/>
              <w:right w:type="dxa" w:w="160"/>
            </w:tcMar>
            <w:vAlign w:val="top"/>
          </w:tcPr>
          <w:p>
            <w:pPr>
              <w:spacing w:after="0" w:line="260"/>
            </w:pPr>
            <w:r>
              <w:rPr>
                <w:sz w:val="18"/>
                <w:szCs w:val="18"/>
              </w:rPr>
              <w:t xml:space="preserve">Control logic</w:t>
            </w:r>
          </w:p>
        </w:tc>
        <w:tc>
          <w:tcPr>
            <w:tcW w:type="dxa" w:w="2800"/>
            <w:shd w:fill="FAF9F6" w:color="auto" w:val="clear"/>
            <w:tcMar>
              <w:top w:type="dxa" w:w="120"/>
              <w:left w:type="dxa" w:w="160"/>
              <w:bottom w:type="dxa" w:w="120"/>
              <w:right w:type="dxa" w:w="160"/>
            </w:tcMar>
            <w:vAlign w:val="top"/>
          </w:tcPr>
          <w:p>
            <w:pPr>
              <w:spacing w:after="0" w:line="260"/>
            </w:pPr>
            <w:r>
              <w:rPr>
                <w:sz w:val="18"/>
                <w:szCs w:val="18"/>
              </w:rPr>
              <w:t xml:space="preserve">ASHRAE 231, at design time</w:t>
            </w:r>
          </w:p>
        </w:tc>
        <w:tc>
          <w:tcPr>
            <w:tcW w:type="dxa" w:w="2872"/>
            <w:shd w:fill="FAF9F6" w:color="auto" w:val="clear"/>
            <w:tcMar>
              <w:top w:type="dxa" w:w="120"/>
              <w:left w:type="dxa" w:w="160"/>
              <w:bottom w:type="dxa" w:w="120"/>
              <w:right w:type="dxa" w:w="160"/>
            </w:tcMar>
            <w:vAlign w:val="top"/>
          </w:tcPr>
          <w:p>
            <w:pPr>
              <w:spacing w:after="0" w:line="260"/>
            </w:pPr>
            <w:r>
              <w:rPr>
                <w:sz w:val="18"/>
                <w:szCs w:val="18"/>
              </w:rPr>
              <w:t xml:space="preserve">nothing</w:t>
            </w:r>
          </w:p>
        </w:tc>
      </w:tr>
      <w:tr>
        <w:trPr>
          <w:cantSplit/>
        </w:trPr>
        <w:tc>
          <w:tcPr>
            <w:tcW w:type="dxa" w:w="3400"/>
            <w:shd w:fill="FFFFFF" w:color="auto" w:val="clear"/>
            <w:tcMar>
              <w:top w:type="dxa" w:w="120"/>
              <w:left w:type="dxa" w:w="160"/>
              <w:bottom w:type="dxa" w:w="120"/>
              <w:right w:type="dxa" w:w="160"/>
            </w:tcMar>
            <w:vAlign w:val="top"/>
          </w:tcPr>
          <w:p>
            <w:pPr>
              <w:spacing w:after="0" w:line="260"/>
            </w:pPr>
            <w:r>
              <w:rPr>
                <w:sz w:val="18"/>
                <w:szCs w:val="18"/>
              </w:rPr>
              <w:t xml:space="preserve">Schedules, alarm configuration, analytics rules</w:t>
            </w:r>
          </w:p>
        </w:tc>
        <w:tc>
          <w:tcPr>
            <w:tcW w:type="dxa" w:w="2800"/>
            <w:shd w:fill="FFFFFF" w:color="auto" w:val="clear"/>
            <w:tcMar>
              <w:top w:type="dxa" w:w="120"/>
              <w:left w:type="dxa" w:w="160"/>
              <w:bottom w:type="dxa" w:w="120"/>
              <w:right w:type="dxa" w:w="160"/>
            </w:tcMar>
            <w:vAlign w:val="top"/>
          </w:tcPr>
          <w:p>
            <w:pPr>
              <w:spacing w:after="0" w:line="260"/>
            </w:pPr>
            <w:r>
              <w:rPr>
                <w:sz w:val="18"/>
                <w:szCs w:val="18"/>
              </w:rPr>
              <w:t xml:space="preserve">nothing</w:t>
            </w:r>
          </w:p>
        </w:tc>
        <w:tc>
          <w:tcPr>
            <w:tcW w:type="dxa" w:w="2872"/>
            <w:shd w:fill="FFFFFF" w:color="auto" w:val="clear"/>
            <w:tcMar>
              <w:top w:type="dxa" w:w="120"/>
              <w:left w:type="dxa" w:w="160"/>
              <w:bottom w:type="dxa" w:w="120"/>
              <w:right w:type="dxa" w:w="160"/>
            </w:tcMar>
            <w:vAlign w:val="top"/>
          </w:tcPr>
          <w:p>
            <w:pPr>
              <w:spacing w:after="0" w:line="260"/>
            </w:pPr>
            <w:r>
              <w:rPr>
                <w:sz w:val="18"/>
                <w:szCs w:val="18"/>
              </w:rPr>
              <w:t xml:space="preserve">nothing</w:t>
            </w:r>
          </w:p>
        </w:tc>
      </w:tr>
      <w:tr>
        <w:trPr>
          <w:cantSplit/>
        </w:trPr>
        <w:tc>
          <w:tcPr>
            <w:tcW w:type="dxa" w:w="3400"/>
            <w:shd w:fill="FAF9F6" w:color="auto" w:val="clear"/>
            <w:tcMar>
              <w:top w:type="dxa" w:w="120"/>
              <w:left w:type="dxa" w:w="160"/>
              <w:bottom w:type="dxa" w:w="120"/>
              <w:right w:type="dxa" w:w="160"/>
            </w:tcMar>
            <w:vAlign w:val="top"/>
          </w:tcPr>
          <w:p>
            <w:pPr>
              <w:spacing w:after="0" w:line="260"/>
            </w:pPr>
            <w:r>
              <w:rPr>
                <w:sz w:val="18"/>
                <w:szCs w:val="18"/>
              </w:rPr>
              <w:t xml:space="preserve">Integration and driver configuration</w:t>
            </w:r>
          </w:p>
        </w:tc>
        <w:tc>
          <w:tcPr>
            <w:tcW w:type="dxa" w:w="2800"/>
            <w:shd w:fill="FAF9F6" w:color="auto" w:val="clear"/>
            <w:tcMar>
              <w:top w:type="dxa" w:w="120"/>
              <w:left w:type="dxa" w:w="160"/>
              <w:bottom w:type="dxa" w:w="120"/>
              <w:right w:type="dxa" w:w="160"/>
            </w:tcMar>
            <w:vAlign w:val="top"/>
          </w:tcPr>
          <w:p>
            <w:pPr>
              <w:spacing w:after="0" w:line="260"/>
            </w:pPr>
            <w:r>
              <w:rPr>
                <w:sz w:val="18"/>
                <w:szCs w:val="18"/>
              </w:rPr>
              <w:t xml:space="preserve">nothing</w:t>
            </w:r>
          </w:p>
        </w:tc>
        <w:tc>
          <w:tcPr>
            <w:tcW w:type="dxa" w:w="2872"/>
            <w:shd w:fill="FAF9F6" w:color="auto" w:val="clear"/>
            <w:tcMar>
              <w:top w:type="dxa" w:w="120"/>
              <w:left w:type="dxa" w:w="160"/>
              <w:bottom w:type="dxa" w:w="120"/>
              <w:right w:type="dxa" w:w="160"/>
            </w:tcMar>
            <w:vAlign w:val="top"/>
          </w:tcPr>
          <w:p>
            <w:pPr>
              <w:spacing w:after="0" w:line="260"/>
            </w:pPr>
            <w:r>
              <w:rPr>
                <w:sz w:val="18"/>
                <w:szCs w:val="18"/>
              </w:rPr>
              <w:t xml:space="preserve">nothing</w:t>
            </w:r>
          </w:p>
        </w:tc>
      </w:tr>
    </w:tbl>
    <w:p>
      <w:pPr>
        <w:pStyle w:val="BodyCopy"/>
      </w:pPr>
      <w:r>
        <w:t xml:space="preserve">ASHRAE Guideline 13, the natural home for such a requirement, covers architecture, input and output structure, communication, configuration, testing, and documentation, and contains no section on owner data rights or vendor exit. Software escrow has no ISO, ANSI, or BSI standard and appears rarely in building automation contracting. Independent data layer architectures are widely discussed and have no specification, governance body, or exit mechanism.</w:t>
      </w:r>
    </w:p>
    <w:p>
      <w:pPr>
        <w:pStyle w:val="Heading2"/>
      </w:pPr>
      <w:r>
        <w:rPr>
          <w:color w:val="8C6D46"/>
        </w:rPr>
        <w:t xml:space="preserve">20.4</w:t>
      </w:r>
      <w:r>
        <w:t xml:space="preserve">  </w:t>
      </w:r>
      <w:r>
        <w:t xml:space="preserve">Portable presentation: the evidence and the precedents</w:t>
      </w:r>
    </w:p>
    <w:p>
      <w:pPr>
        <w:pStyle w:val="BodyCopy"/>
      </w:pPr>
      <w:r>
        <w:t xml:space="preserve">Point semantics are standardized, geometry is standardized, transport is standardized. The symbol on a page bound to a live point is standardized nowhere, and every effort in this field has explicitly placed it out of scope.</w:t>
      </w:r>
    </w:p>
    <w:p>
      <w:pPr>
        <w:pStyle w:val="BodyCopy"/>
      </w:pPr>
      <w:r>
        <w:t xml:space="preserve">Three pieces of evidence establish that the rebuild cost is structural rather than incidental. Schneider published TGML as a format specification in 2010 and its own knowledge base states that artwork travels but "all of the binding and linking information would be lost," because bindings live in the database. Johnson Controls’ own N1-to-Metasys conversion utility drops color-change, animation, and sizing dynamics and requires manual rebinding. And QA Graphics, the dominant third-party graphics house, organizes its service line by platform with no conversion service between them — its business model is the missing format.</w:t>
      </w:r>
    </w:p>
    <w:p>
      <w:pPr>
        <w:pStyle w:val="BodyCopy"/>
      </w:pPr>
      <w:r>
        <w:t xml:space="preserve">Two precedents outside buildings show the problem is tractable, and clause 13 is measured against them:</w:t>
      </w:r>
    </w:p>
    <w:p>
      <w:pPr>
        <w:pStyle w:val="BulletCopy"/>
        <w:numPr>
          <w:ilvl w:val="0"/>
          <w:numId w:val="2"/>
        </w:numPr>
      </w:pPr>
      <w:r>
        <w:rPr>
          <w:b/>
          <w:bCs/>
          <w:color w:val="1A1D21"/>
        </w:rPr>
        <w:t xml:space="preserve">IEC 61970-453</w:t>
      </w:r>
      <w:r>
        <w:t xml:space="preserve"> — </w:t>
      </w:r>
      <w:r>
        <w:t xml:space="preserve">the CIM Diagram Layout Profile exchanges diagram geometry in which each diagram object links to the underlying modeled power-system object. Real bindings, machine-readable, in production. It does not exchange symbol libraries or styling, and carries static layout rather than rendering rules — which is precisely the division clause 13 adopts.</w:t>
      </w:r>
    </w:p>
    <w:p>
      <w:pPr>
        <w:pStyle w:val="BulletCopy"/>
        <w:numPr>
          <w:ilvl w:val="0"/>
          <w:numId w:val="2"/>
        </w:numPr>
      </w:pPr>
      <w:r>
        <w:rPr>
          <w:b/>
          <w:bCs/>
          <w:color w:val="1A1D21"/>
        </w:rPr>
        <w:t xml:space="preserve">IEC 61804-3 (EDDL)</w:t>
      </w:r>
      <w:r>
        <w:t xml:space="preserve"> — </w:t>
      </w:r>
      <w:r>
        <w:t xml:space="preserve">a standardized, vendor-portable description language including menus, graphical representations, and a graphing system bound to device parameters. The one place a standards body shipped portable graphics with data bindings. Its scope is device faceplates, not plant graphics.</w:t>
      </w:r>
    </w:p>
    <w:p>
      <w:r>
        <w:br w:type="page"/>
      </w:r>
    </w:p>
    <w:p>
      <w:pPr>
        <w:pStyle w:val="Heading1"/>
      </w:pPr>
      <w:r>
        <w:rPr>
          <w:rFonts w:ascii="Georgia" w:cs="Georgia" w:eastAsia="Georgia" w:hAnsi="Georgia"/>
          <w:color w:val="8C6D46"/>
        </w:rPr>
        <w:t xml:space="preserve">A</w:t>
      </w:r>
      <w:r>
        <w:t xml:space="preserve">  </w:t>
      </w:r>
      <w:r>
        <w:t xml:space="preserve">Conformance test suite outline</w:t>
      </w:r>
    </w:p>
    <w:p>
      <w:pPr>
        <w:pStyle w:val="MetaNote"/>
      </w:pPr>
      <w:r>
        <w:t xml:space="preserve">Normative as to what must be tested. A fixture kit of twelve tampered packages, each declaring the behavior a conforming implementation must exhibit, is published with the reference tooling, together with two implementations — Python and TypeScript — that pass the suite and reconstruct each other’s exports canonically. Both share an author; results from an independent party remain self-declared until one exists.</w:t>
      </w:r>
    </w:p>
    <w:p>
      <w:pPr>
        <w:pStyle w:val="Heading2"/>
      </w:pPr>
      <w:r>
        <w:rPr>
          <w:color w:val="8C6D46"/>
        </w:rPr>
        <w:t xml:space="preserve">A.1</w:t>
      </w:r>
      <w:r>
        <w:t xml:space="preserve">  </w:t>
      </w:r>
      <w:r>
        <w:t xml:space="preserve">Structure</w:t>
      </w:r>
    </w:p>
    <w:p>
      <w:pPr>
        <w:pStyle w:val="BodyCopy"/>
      </w:pPr>
      <w:r>
        <w:t xml:space="preserve">Four groups, matching the four conformance targets of 2.2. Each test carries a grade:</w:t>
      </w:r>
    </w:p>
    <w:p>
      <w:pPr>
        <w:pStyle w:val="BulletCopy"/>
        <w:numPr>
          <w:ilvl w:val="0"/>
          <w:numId w:val="2"/>
        </w:numPr>
      </w:pPr>
      <w:r>
        <w:rPr>
          <w:b/>
          <w:bCs/>
          <w:color w:val="1A1D21"/>
        </w:rPr>
        <w:t xml:space="preserve">MUST</w:t>
      </w:r>
      <w:r>
        <w:t xml:space="preserve"> — </w:t>
      </w:r>
      <w:r>
        <w:t xml:space="preserve">failure means the implementation does not conform at the claimed profile.</w:t>
      </w:r>
    </w:p>
    <w:p>
      <w:pPr>
        <w:pStyle w:val="BulletCopy"/>
        <w:numPr>
          <w:ilvl w:val="0"/>
          <w:numId w:val="2"/>
        </w:numPr>
      </w:pPr>
      <w:r>
        <w:rPr>
          <w:b/>
          <w:bCs/>
          <w:color w:val="1A1D21"/>
        </w:rPr>
        <w:t xml:space="preserve">SHOULD</w:t>
      </w:r>
      <w:r>
        <w:t xml:space="preserve"> — </w:t>
      </w:r>
      <w:r>
        <w:t xml:space="preserve">failure is reported in the conformance statement but does not defeat conformance.</w:t>
      </w:r>
    </w:p>
    <w:p>
      <w:pPr>
        <w:pStyle w:val="BulletCopy"/>
        <w:numPr>
          <w:ilvl w:val="0"/>
          <w:numId w:val="2"/>
        </w:numPr>
      </w:pPr>
      <w:r>
        <w:rPr>
          <w:b/>
          <w:bCs/>
          <w:color w:val="1A1D21"/>
        </w:rPr>
        <w:t xml:space="preserve">INFO</w:t>
      </w:r>
      <w:r>
        <w:t xml:space="preserve"> — </w:t>
      </w:r>
      <w:r>
        <w:t xml:space="preserve">measured and reported; no pass or fail.</w:t>
      </w:r>
    </w:p>
    <w:p>
      <w:pPr>
        <w:pStyle w:val="BodyCopy"/>
      </w:pPr>
      <w:r>
        <w:t xml:space="preserve">A machine-readable form is distributed as </w:t>
      </w:r>
      <w:r>
        <w:rPr>
          <w:rFonts w:ascii="Consolas" w:cs="Consolas" w:eastAsia="Consolas" w:hAnsi="Consolas"/>
          <w:color w:val="1A1D21"/>
          <w:sz w:val="18"/>
          <w:szCs w:val="18"/>
          <w:shd w:fill="F2F1ED" w:color="auto" w:val="clear"/>
        </w:rPr>
        <w:t xml:space="preserve">bus-conformance-tests.json</w:t>
      </w:r>
      <w:r>
        <w:t xml:space="preserve">. Where the two differ, this annex governs. Group RT is the heart of the suite: each test exports package A, imports it, re-exports package B, and compares in canonical form per 17.5.</w:t>
      </w:r>
    </w:p>
    <w:p>
      <w:pPr>
        <w:pStyle w:val="Heading2"/>
      </w:pPr>
      <w:r>
        <w:rPr>
          <w:color w:val="8C6D46"/>
        </w:rPr>
        <w:t xml:space="preserve">A.2</w:t>
      </w:r>
      <w:r>
        <w:t xml:space="preserve">  </w:t>
      </w:r>
      <w:r>
        <w:t xml:space="preserve">Group PK — Package validity</w:t>
      </w:r>
    </w:p>
    <w:p>
      <w:pPr>
        <w:pStyle w:val="BodyCopy"/>
      </w:pPr>
      <w:r>
        <w:t xml:space="preserve">Target: package.</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700"/>
        <w:gridCol w:w="1150"/>
        <w:gridCol w:w="7222"/>
      </w:tblGrid>
      <w:tr>
        <w:trPr>
          <w:cantSplit/>
          <w:tblHeader/>
        </w:trPr>
        <w:tc>
          <w:tcPr>
            <w:tcW w:type="dxa" w:w="7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ID</w:t>
            </w:r>
          </w:p>
        </w:tc>
        <w:tc>
          <w:tcPr>
            <w:tcW w:type="dxa" w:w="115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Grade</w:t>
            </w:r>
          </w:p>
        </w:tc>
        <w:tc>
          <w:tcPr>
            <w:tcW w:type="dxa" w:w="722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Test and pass criterion</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PK-1</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Container form</w:t>
            </w:r>
            <w:r>
              <w:rPr>
                <w:sz w:val="18"/>
                <w:szCs w:val="18"/>
              </w:rPr>
              <w:t xml:space="preserve"> (BUS-1 16.2). Open the package as a ZIP archive. </w:t>
            </w:r>
            <w:r>
              <w:rPr>
                <w:i/>
                <w:iCs/>
                <w:sz w:val="18"/>
                <w:szCs w:val="18"/>
              </w:rPr>
              <w:t xml:space="preserve">Pass:</w:t>
            </w:r>
            <w:r>
              <w:rPr>
                <w:sz w:val="18"/>
                <w:szCs w:val="18"/>
              </w:rPr>
              <w:t xml:space="preserve"> The archive opens, the first entry is named 'mimetype', it is stored uncompressed, and its content is exactly the registered media type string with no trailing newline.</w:t>
            </w:r>
          </w:p>
        </w:tc>
      </w:tr>
      <w:tr>
        <w:trPr>
          <w:cantSplit/>
        </w:trPr>
        <w:tc>
          <w:tcPr>
            <w:tcW w:type="dxa" w:w="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PK-2</w:t>
            </w:r>
          </w:p>
        </w:tc>
        <w:tc>
          <w:tcPr>
            <w:tcW w:type="dxa" w:w="1150"/>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AF9F6" w:color="auto" w:val="clear"/>
            <w:tcMar>
              <w:top w:type="dxa" w:w="120"/>
              <w:left w:type="dxa" w:w="160"/>
              <w:bottom w:type="dxa" w:w="120"/>
              <w:right w:type="dxa" w:w="160"/>
            </w:tcMar>
            <w:vAlign w:val="top"/>
          </w:tcPr>
          <w:p>
            <w:pPr>
              <w:spacing w:after="0" w:line="260"/>
            </w:pPr>
            <w:r>
              <w:rPr>
                <w:b/>
                <w:bCs/>
                <w:color w:val="1A1D21"/>
                <w:sz w:val="18"/>
                <w:szCs w:val="18"/>
              </w:rPr>
              <w:t xml:space="preserve">Manifest present and valid</w:t>
            </w:r>
            <w:r>
              <w:rPr>
                <w:sz w:val="18"/>
                <w:szCs w:val="18"/>
              </w:rPr>
              <w:t xml:space="preserve"> (BUS-1 16.3). Read manifest.json at the package root and validate against bus-manifest.schema.json. </w:t>
            </w:r>
            <w:r>
              <w:rPr>
                <w:i/>
                <w:iCs/>
                <w:sz w:val="18"/>
                <w:szCs w:val="18"/>
              </w:rPr>
              <w:t xml:space="preserve">Pass:</w:t>
            </w:r>
            <w:r>
              <w:rPr>
                <w:sz w:val="18"/>
                <w:szCs w:val="18"/>
              </w:rPr>
              <w:t xml:space="preserve"> The manifest exists and validates with no errors.</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PK-3</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Document validity</w:t>
            </w:r>
            <w:r>
              <w:rPr>
                <w:sz w:val="18"/>
                <w:szCs w:val="18"/>
              </w:rPr>
              <w:t xml:space="preserve"> (BUS-1 17.4). Validate every file listed in manifest.documents against bus-document.schema.json. </w:t>
            </w:r>
            <w:r>
              <w:rPr>
                <w:i/>
                <w:iCs/>
                <w:sz w:val="18"/>
                <w:szCs w:val="18"/>
              </w:rPr>
              <w:t xml:space="preserve">Pass:</w:t>
            </w:r>
            <w:r>
              <w:rPr>
                <w:sz w:val="18"/>
                <w:szCs w:val="18"/>
              </w:rPr>
              <w:t xml:space="preserve"> Every listed document exists and validates with no errors.</w:t>
            </w:r>
          </w:p>
        </w:tc>
      </w:tr>
      <w:tr>
        <w:trPr>
          <w:cantSplit/>
        </w:trPr>
        <w:tc>
          <w:tcPr>
            <w:tcW w:type="dxa" w:w="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PK-4</w:t>
            </w:r>
          </w:p>
        </w:tc>
        <w:tc>
          <w:tcPr>
            <w:tcW w:type="dxa" w:w="1150"/>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AF9F6" w:color="auto" w:val="clear"/>
            <w:tcMar>
              <w:top w:type="dxa" w:w="120"/>
              <w:left w:type="dxa" w:w="160"/>
              <w:bottom w:type="dxa" w:w="120"/>
              <w:right w:type="dxa" w:w="160"/>
            </w:tcMar>
            <w:vAlign w:val="top"/>
          </w:tcPr>
          <w:p>
            <w:pPr>
              <w:spacing w:after="0" w:line="260"/>
            </w:pPr>
            <w:r>
              <w:rPr>
                <w:b/>
                <w:bCs/>
                <w:color w:val="1A1D21"/>
                <w:sz w:val="18"/>
                <w:szCs w:val="18"/>
              </w:rPr>
              <w:t xml:space="preserve">Digest integrity</w:t>
            </w:r>
            <w:r>
              <w:rPr>
                <w:sz w:val="18"/>
                <w:szCs w:val="18"/>
              </w:rPr>
              <w:t xml:space="preserve"> (BUS-1 16.5). Recompute the digest of every entry in manifest.documents and manifest.resources. </w:t>
            </w:r>
            <w:r>
              <w:rPr>
                <w:i/>
                <w:iCs/>
                <w:sz w:val="18"/>
                <w:szCs w:val="18"/>
              </w:rPr>
              <w:t xml:space="preserve">Pass:</w:t>
            </w:r>
            <w:r>
              <w:rPr>
                <w:sz w:val="18"/>
                <w:szCs w:val="18"/>
              </w:rPr>
              <w:t xml:space="preserve"> Every recomputed digest equals the declared digest, and every declared byteLength matches.</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PK-5</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No undeclared payload</w:t>
            </w:r>
            <w:r>
              <w:rPr>
                <w:sz w:val="18"/>
                <w:szCs w:val="18"/>
              </w:rPr>
              <w:t xml:space="preserve"> (BUS-1 16.4). Enumerate all archive entries. </w:t>
            </w:r>
            <w:r>
              <w:rPr>
                <w:i/>
                <w:iCs/>
                <w:sz w:val="18"/>
                <w:szCs w:val="18"/>
              </w:rPr>
              <w:t xml:space="preserve">Pass:</w:t>
            </w:r>
            <w:r>
              <w:rPr>
                <w:sz w:val="18"/>
                <w:szCs w:val="18"/>
              </w:rPr>
              <w:t xml:space="preserve"> Every entry other than 'mimetype' and 'manifest.json' appears in manifest.documents or manifest.resources.</w:t>
            </w:r>
          </w:p>
        </w:tc>
      </w:tr>
      <w:tr>
        <w:trPr>
          <w:cantSplit/>
        </w:trPr>
        <w:tc>
          <w:tcPr>
            <w:tcW w:type="dxa" w:w="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PK-6</w:t>
            </w:r>
          </w:p>
        </w:tc>
        <w:tc>
          <w:tcPr>
            <w:tcW w:type="dxa" w:w="1150"/>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AF9F6" w:color="auto" w:val="clear"/>
            <w:tcMar>
              <w:top w:type="dxa" w:w="120"/>
              <w:left w:type="dxa" w:w="160"/>
              <w:bottom w:type="dxa" w:w="120"/>
              <w:right w:type="dxa" w:w="160"/>
            </w:tcMar>
            <w:vAlign w:val="top"/>
          </w:tcPr>
          <w:p>
            <w:pPr>
              <w:spacing w:after="0" w:line="260"/>
            </w:pPr>
            <w:r>
              <w:rPr>
                <w:b/>
                <w:bCs/>
                <w:color w:val="1A1D21"/>
                <w:sz w:val="18"/>
                <w:szCs w:val="18"/>
              </w:rPr>
              <w:t xml:space="preserve">Path safety</w:t>
            </w:r>
            <w:r>
              <w:rPr>
                <w:sz w:val="18"/>
                <w:szCs w:val="18"/>
              </w:rPr>
              <w:t xml:space="preserve"> (BUS-1 16.4). Inspect every archive entry name. </w:t>
            </w:r>
            <w:r>
              <w:rPr>
                <w:i/>
                <w:iCs/>
                <w:sz w:val="18"/>
                <w:szCs w:val="18"/>
              </w:rPr>
              <w:t xml:space="preserve">Pass:</w:t>
            </w:r>
            <w:r>
              <w:rPr>
                <w:sz w:val="18"/>
                <w:szCs w:val="18"/>
              </w:rPr>
              <w:t xml:space="preserve"> No entry is absolute, contains a '..' segment, or resolves outside the package root.</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PK-7</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Identifier uniqueness</w:t>
            </w:r>
            <w:r>
              <w:rPr>
                <w:sz w:val="18"/>
                <w:szCs w:val="18"/>
              </w:rPr>
              <w:t xml:space="preserve"> (BUS-1 6.2). Collect every entity id in the package. </w:t>
            </w:r>
            <w:r>
              <w:rPr>
                <w:i/>
                <w:iCs/>
                <w:sz w:val="18"/>
                <w:szCs w:val="18"/>
              </w:rPr>
              <w:t xml:space="preserve">Pass:</w:t>
            </w:r>
            <w:r>
              <w:rPr>
                <w:sz w:val="18"/>
                <w:szCs w:val="18"/>
              </w:rPr>
              <w:t xml:space="preserve"> No id occurs twice.</w:t>
            </w:r>
          </w:p>
        </w:tc>
      </w:tr>
      <w:tr>
        <w:trPr>
          <w:cantSplit/>
        </w:trPr>
        <w:tc>
          <w:tcPr>
            <w:tcW w:type="dxa" w:w="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PK-8</w:t>
            </w:r>
          </w:p>
        </w:tc>
        <w:tc>
          <w:tcPr>
            <w:tcW w:type="dxa" w:w="1150"/>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AF9F6" w:color="auto" w:val="clear"/>
            <w:tcMar>
              <w:top w:type="dxa" w:w="120"/>
              <w:left w:type="dxa" w:w="160"/>
              <w:bottom w:type="dxa" w:w="120"/>
              <w:right w:type="dxa" w:w="160"/>
            </w:tcMar>
            <w:vAlign w:val="top"/>
          </w:tcPr>
          <w:p>
            <w:pPr>
              <w:spacing w:after="0" w:line="260"/>
            </w:pPr>
            <w:r>
              <w:rPr>
                <w:b/>
                <w:bCs/>
                <w:color w:val="1A1D21"/>
                <w:sz w:val="18"/>
                <w:szCs w:val="18"/>
              </w:rPr>
              <w:t xml:space="preserve">Referential closure</w:t>
            </w:r>
            <w:r>
              <w:rPr>
                <w:sz w:val="18"/>
                <w:szCs w:val="18"/>
              </w:rPr>
              <w:t xml:space="preserve"> (BUS-1 9.2). Resolve every subject, object, deviceRef, targetOf, appliesToRef, scheduleRef and ChangeRecord subject. </w:t>
            </w:r>
            <w:r>
              <w:rPr>
                <w:i/>
                <w:iCs/>
                <w:sz w:val="18"/>
                <w:szCs w:val="18"/>
              </w:rPr>
              <w:t xml:space="preserve">Pass:</w:t>
            </w:r>
            <w:r>
              <w:rPr>
                <w:sz w:val="18"/>
                <w:szCs w:val="18"/>
              </w:rPr>
              <w:t xml:space="preserve"> Every reference resolves to an entity present in the package, or to an entity explicitly declared external in the manifest.</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PK-9</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Extension declaration</w:t>
            </w:r>
            <w:r>
              <w:rPr>
                <w:sz w:val="18"/>
                <w:szCs w:val="18"/>
              </w:rPr>
              <w:t xml:space="preserve"> (BUS-1 15.3). Collect every namespace prefix used in type names, predicates and extension keys. </w:t>
            </w:r>
            <w:r>
              <w:rPr>
                <w:i/>
                <w:iCs/>
                <w:sz w:val="18"/>
                <w:szCs w:val="18"/>
              </w:rPr>
              <w:t xml:space="preserve">Pass:</w:t>
            </w:r>
            <w:r>
              <w:rPr>
                <w:sz w:val="18"/>
                <w:szCs w:val="18"/>
              </w:rPr>
              <w:t xml:space="preserve"> Every non-bus prefix is declared in manifest.extensions.</w:t>
            </w:r>
          </w:p>
        </w:tc>
      </w:tr>
      <w:tr>
        <w:trPr>
          <w:cantSplit/>
        </w:trPr>
        <w:tc>
          <w:tcPr>
            <w:tcW w:type="dxa" w:w="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PK-10</w:t>
            </w:r>
          </w:p>
        </w:tc>
        <w:tc>
          <w:tcPr>
            <w:tcW w:type="dxa" w:w="1150"/>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AF9F6" w:color="auto" w:val="clear"/>
            <w:tcMar>
              <w:top w:type="dxa" w:w="120"/>
              <w:left w:type="dxa" w:w="160"/>
              <w:bottom w:type="dxa" w:w="120"/>
              <w:right w:type="dxa" w:w="160"/>
            </w:tcMar>
            <w:vAlign w:val="top"/>
          </w:tcPr>
          <w:p>
            <w:pPr>
              <w:spacing w:after="0" w:line="260"/>
            </w:pPr>
            <w:r>
              <w:rPr>
                <w:b/>
                <w:bCs/>
                <w:color w:val="1A1D21"/>
                <w:sz w:val="18"/>
                <w:szCs w:val="18"/>
              </w:rPr>
              <w:t xml:space="preserve">Completeness declaration</w:t>
            </w:r>
            <w:r>
              <w:rPr>
                <w:sz w:val="18"/>
                <w:szCs w:val="18"/>
              </w:rPr>
              <w:t xml:space="preserve"> (BUS-1 16.6). Inspect manifest.completeness.domains. </w:t>
            </w:r>
            <w:r>
              <w:rPr>
                <w:i/>
                <w:iCs/>
                <w:sz w:val="18"/>
                <w:szCs w:val="18"/>
              </w:rPr>
              <w:t xml:space="preserve">Pass:</w:t>
            </w:r>
            <w:r>
              <w:rPr>
                <w:sz w:val="18"/>
                <w:szCs w:val="18"/>
              </w:rPr>
              <w:t xml:space="preserve"> All twelve substrate domains are present, and every domain in state partial or absent carries a reason.</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PK-11</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SHOULD</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Profile support</w:t>
            </w:r>
            <w:r>
              <w:rPr>
                <w:sz w:val="18"/>
                <w:szCs w:val="18"/>
              </w:rPr>
              <w:t xml:space="preserve"> (BUS-1 2.3). Compare the declared profile against the domains actually populated. </w:t>
            </w:r>
            <w:r>
              <w:rPr>
                <w:i/>
                <w:iCs/>
                <w:sz w:val="18"/>
                <w:szCs w:val="18"/>
              </w:rPr>
              <w:t xml:space="preserve">Pass:</w:t>
            </w:r>
            <w:r>
              <w:rPr>
                <w:sz w:val="18"/>
                <w:szCs w:val="18"/>
              </w:rPr>
              <w:t xml:space="preserve"> Every domain required by the declared profile is in state complete or partial, not absent.</w:t>
            </w:r>
          </w:p>
        </w:tc>
      </w:tr>
      <w:tr>
        <w:trPr>
          <w:cantSplit/>
        </w:trPr>
        <w:tc>
          <w:tcPr>
            <w:tcW w:type="dxa" w:w="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PK-12</w:t>
            </w:r>
          </w:p>
        </w:tc>
        <w:tc>
          <w:tcPr>
            <w:tcW w:type="dxa" w:w="1150"/>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AF9F6" w:color="auto" w:val="clear"/>
            <w:tcMar>
              <w:top w:type="dxa" w:w="120"/>
              <w:left w:type="dxa" w:w="160"/>
              <w:bottom w:type="dxa" w:w="120"/>
              <w:right w:type="dxa" w:w="160"/>
            </w:tcMar>
            <w:vAlign w:val="top"/>
          </w:tcPr>
          <w:p>
            <w:pPr>
              <w:spacing w:after="0" w:line="260"/>
            </w:pPr>
            <w:r>
              <w:rPr>
                <w:b/>
                <w:bCs/>
                <w:color w:val="1A1D21"/>
                <w:sz w:val="18"/>
                <w:szCs w:val="18"/>
              </w:rPr>
              <w:t xml:space="preserve">Property definition coverage</w:t>
            </w:r>
            <w:r>
              <w:rPr>
                <w:sz w:val="18"/>
                <w:szCs w:val="18"/>
              </w:rPr>
              <w:t xml:space="preserve"> (BUS-1 7.8). Collect every property value in the package and resolve its definition. </w:t>
            </w:r>
            <w:r>
              <w:rPr>
                <w:i/>
                <w:iCs/>
                <w:sz w:val="18"/>
                <w:szCs w:val="18"/>
              </w:rPr>
              <w:t xml:space="preserve">Pass:</w:t>
            </w:r>
            <w:r>
              <w:rPr>
                <w:sz w:val="18"/>
                <w:szCs w:val="18"/>
              </w:rPr>
              <w:t xml:space="preserve"> Every property value references a bus:PropertyDefinition present in the package. No bare key-value property data appears anywhere.</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PK-13</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Property value agrees with its definition</w:t>
            </w:r>
            <w:r>
              <w:rPr>
                <w:sz w:val="18"/>
                <w:szCs w:val="18"/>
              </w:rPr>
              <w:t xml:space="preserve"> (BUS-1 7.8). For each property value, compare its shape against the declared datatype and unit. </w:t>
            </w:r>
            <w:r>
              <w:rPr>
                <w:i/>
                <w:iCs/>
                <w:sz w:val="18"/>
                <w:szCs w:val="18"/>
              </w:rPr>
              <w:t xml:space="preserve">Pass:</w:t>
            </w:r>
            <w:r>
              <w:rPr>
                <w:sz w:val="18"/>
                <w:szCs w:val="18"/>
              </w:rPr>
              <w:t xml:space="preserve"> Quantity values carry the unit declared by the definition; string, number and enum values match their declared datatype.</w:t>
            </w:r>
          </w:p>
        </w:tc>
      </w:tr>
      <w:tr>
        <w:trPr>
          <w:cantSplit/>
        </w:trPr>
        <w:tc>
          <w:tcPr>
            <w:tcW w:type="dxa" w:w="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PK-14</w:t>
            </w:r>
          </w:p>
        </w:tc>
        <w:tc>
          <w:tcPr>
            <w:tcW w:type="dxa" w:w="1150"/>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AF9F6" w:color="auto" w:val="clear"/>
            <w:tcMar>
              <w:top w:type="dxa" w:w="120"/>
              <w:left w:type="dxa" w:w="160"/>
              <w:bottom w:type="dxa" w:w="120"/>
              <w:right w:type="dxa" w:w="160"/>
            </w:tcMar>
            <w:vAlign w:val="top"/>
          </w:tcPr>
          <w:p>
            <w:pPr>
              <w:spacing w:after="0" w:line="260"/>
            </w:pPr>
            <w:r>
              <w:rPr>
                <w:b/>
                <w:bCs/>
                <w:color w:val="1A1D21"/>
                <w:sz w:val="18"/>
                <w:szCs w:val="18"/>
              </w:rPr>
              <w:t xml:space="preserve">Presentation referential integrity</w:t>
            </w:r>
            <w:r>
              <w:rPr>
                <w:sz w:val="18"/>
                <w:szCs w:val="18"/>
              </w:rPr>
              <w:t xml:space="preserve"> (BUS-1 13). Resolve every element drawing and layer, every layer drawing, every represents and navigatesTo, and every binding element and target. </w:t>
            </w:r>
            <w:r>
              <w:rPr>
                <w:i/>
                <w:iCs/>
                <w:sz w:val="18"/>
                <w:szCs w:val="18"/>
              </w:rPr>
              <w:t xml:space="preserve">Pass:</w:t>
            </w:r>
            <w:r>
              <w:rPr>
                <w:sz w:val="18"/>
                <w:szCs w:val="18"/>
              </w:rPr>
              <w:t xml:space="preserve"> All resolve. Every element's layer belongs to the same drawing as the element. Every navigatesTo names a drawing.</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PK-15</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Actuation declaration is accurate</w:t>
            </w:r>
            <w:r>
              <w:rPr>
                <w:sz w:val="18"/>
                <w:szCs w:val="18"/>
              </w:rPr>
              <w:t xml:space="preserve"> (BUS-1 16.7). Count write and readWrite bindings and compare against manifest.actuation. </w:t>
            </w:r>
            <w:r>
              <w:rPr>
                <w:i/>
                <w:iCs/>
                <w:sz w:val="18"/>
                <w:szCs w:val="18"/>
              </w:rPr>
              <w:t xml:space="preserve">Pass:</w:t>
            </w:r>
            <w:r>
              <w:rPr>
                <w:sz w:val="18"/>
                <w:szCs w:val="18"/>
              </w:rPr>
              <w:t xml:space="preserve"> present matches whether any write binding exists; bindingCount and highestPriority match the content. A package containing write bindings and declaring actuation absent fails.</w:t>
            </w:r>
          </w:p>
        </w:tc>
      </w:tr>
      <w:tr>
        <w:trPr>
          <w:cantSplit/>
        </w:trPr>
        <w:tc>
          <w:tcPr>
            <w:tcW w:type="dxa" w:w="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PK-16</w:t>
            </w:r>
          </w:p>
        </w:tc>
        <w:tc>
          <w:tcPr>
            <w:tcW w:type="dxa" w:w="1150"/>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AF9F6" w:color="auto" w:val="clear"/>
            <w:tcMar>
              <w:top w:type="dxa" w:w="120"/>
              <w:left w:type="dxa" w:w="160"/>
              <w:bottom w:type="dxa" w:w="120"/>
              <w:right w:type="dxa" w:w="160"/>
            </w:tcMar>
            <w:vAlign w:val="top"/>
          </w:tcPr>
          <w:p>
            <w:pPr>
              <w:spacing w:after="0" w:line="260"/>
            </w:pPr>
            <w:r>
              <w:rPr>
                <w:b/>
                <w:bCs/>
                <w:color w:val="1A1D21"/>
                <w:sz w:val="18"/>
                <w:szCs w:val="18"/>
              </w:rPr>
              <w:t xml:space="preserve">Write bindings are well formed</w:t>
            </w:r>
            <w:r>
              <w:rPr>
                <w:sz w:val="18"/>
                <w:szCs w:val="18"/>
              </w:rPr>
              <w:t xml:space="preserve"> (BUS-1 13.7). For each write binding, inspect its write block and its target. </w:t>
            </w:r>
            <w:r>
              <w:rPr>
                <w:i/>
                <w:iCs/>
                <w:sz w:val="18"/>
                <w:szCs w:val="18"/>
              </w:rPr>
              <w:t xml:space="preserve">Pass:</w:t>
            </w:r>
            <w:r>
              <w:rPr>
                <w:sz w:val="18"/>
                <w:szCs w:val="18"/>
              </w:rPr>
              <w:t xml:space="preserve"> A command priority is declared, the target point is writable, the priority is within the target's declared priority model, and any constraintRef or interlockRef resolves to a bus:Constraint.</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PK-17</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SHOULD</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Drawing scale is checkable</w:t>
            </w:r>
            <w:r>
              <w:rPr>
                <w:sz w:val="18"/>
                <w:szCs w:val="18"/>
              </w:rPr>
              <w:t xml:space="preserve"> (BUS-1 13.3). Inspect each drawing for a reference dimension. </w:t>
            </w:r>
            <w:r>
              <w:rPr>
                <w:i/>
                <w:iCs/>
                <w:sz w:val="18"/>
                <w:szCs w:val="18"/>
              </w:rPr>
              <w:t xml:space="preserve">Pass:</w:t>
            </w:r>
            <w:r>
              <w:rPr>
                <w:sz w:val="18"/>
                <w:szCs w:val="18"/>
              </w:rPr>
              <w:t xml:space="preserve"> A reference dimension is present and its stated length agrees with the distance between its two drawing coordinates under the declared units.</w:t>
            </w:r>
          </w:p>
        </w:tc>
      </w:tr>
    </w:tbl>
    <w:p>
      <w:pPr>
        <w:pStyle w:val="Heading2"/>
      </w:pPr>
      <w:r>
        <w:rPr>
          <w:color w:val="8C6D46"/>
        </w:rPr>
        <w:t xml:space="preserve">A.3</w:t>
      </w:r>
      <w:r>
        <w:t xml:space="preserve">  </w:t>
      </w:r>
      <w:r>
        <w:t xml:space="preserve">Group RT — Round-trip reconstruction</w:t>
      </w:r>
    </w:p>
    <w:p>
      <w:pPr>
        <w:pStyle w:val="BodyCopy"/>
      </w:pPr>
      <w:r>
        <w:t xml:space="preserve">Target: roundTrip. Each test exports package A from the source system, imports A into the receiving system, re-exports package B from the receiving system, and compares A with B after canonicalization per BUS-1 14.5.</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700"/>
        <w:gridCol w:w="1150"/>
        <w:gridCol w:w="7222"/>
      </w:tblGrid>
      <w:tr>
        <w:trPr>
          <w:cantSplit/>
          <w:tblHeader/>
        </w:trPr>
        <w:tc>
          <w:tcPr>
            <w:tcW w:type="dxa" w:w="7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ID</w:t>
            </w:r>
          </w:p>
        </w:tc>
        <w:tc>
          <w:tcPr>
            <w:tcW w:type="dxa" w:w="115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Grade</w:t>
            </w:r>
          </w:p>
        </w:tc>
        <w:tc>
          <w:tcPr>
            <w:tcW w:type="dxa" w:w="722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Test and pass criterion</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RT-1</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Identity preservation</w:t>
            </w:r>
            <w:r>
              <w:rPr>
                <w:sz w:val="18"/>
                <w:szCs w:val="18"/>
              </w:rPr>
              <w:t xml:space="preserve"> (BUS-1 6.4). Compare the id of every entity in A with its counterpart in B. </w:t>
            </w:r>
            <w:r>
              <w:rPr>
                <w:i/>
                <w:iCs/>
                <w:sz w:val="18"/>
                <w:szCs w:val="18"/>
              </w:rPr>
              <w:t xml:space="preserve">Pass:</w:t>
            </w:r>
            <w:r>
              <w:rPr>
                <w:sz w:val="18"/>
                <w:szCs w:val="18"/>
              </w:rPr>
              <w:t xml:space="preserve"> Every id in A appears unchanged in B, or B contains a bus:IdentityMapping with equivalence 'same' linking the new id to the original. No entity is silently reidentified.</w:t>
            </w:r>
          </w:p>
        </w:tc>
      </w:tr>
      <w:tr>
        <w:trPr>
          <w:cantSplit/>
        </w:trPr>
        <w:tc>
          <w:tcPr>
            <w:tcW w:type="dxa" w:w="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RT-2</w:t>
            </w:r>
          </w:p>
        </w:tc>
        <w:tc>
          <w:tcPr>
            <w:tcW w:type="dxa" w:w="1150"/>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AF9F6" w:color="auto" w:val="clear"/>
            <w:tcMar>
              <w:top w:type="dxa" w:w="120"/>
              <w:left w:type="dxa" w:w="160"/>
              <w:bottom w:type="dxa" w:w="120"/>
              <w:right w:type="dxa" w:w="160"/>
            </w:tcMar>
            <w:vAlign w:val="top"/>
          </w:tcPr>
          <w:p>
            <w:pPr>
              <w:spacing w:after="0" w:line="260"/>
            </w:pPr>
            <w:r>
              <w:rPr>
                <w:b/>
                <w:bCs/>
                <w:color w:val="1A1D21"/>
                <w:sz w:val="18"/>
                <w:szCs w:val="18"/>
              </w:rPr>
              <w:t xml:space="preserve">Object meaning</w:t>
            </w:r>
            <w:r>
              <w:rPr>
                <w:sz w:val="18"/>
                <w:szCs w:val="18"/>
              </w:rPr>
              <w:t xml:space="preserve"> (BUS-1 8). Compare type, pointKind, dataType, unit, range, enumeration, classifications and attributes for every entity. </w:t>
            </w:r>
            <w:r>
              <w:rPr>
                <w:i/>
                <w:iCs/>
                <w:sz w:val="18"/>
                <w:szCs w:val="18"/>
              </w:rPr>
              <w:t xml:space="preserve">Pass:</w:t>
            </w:r>
            <w:r>
              <w:rPr>
                <w:sz w:val="18"/>
                <w:szCs w:val="18"/>
              </w:rPr>
              <w:t xml:space="preserve"> All are preserved. Unit codes are preserved without conversion, or converted with the original code recorded in provenance.</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RT-3</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Relationship graph</w:t>
            </w:r>
            <w:r>
              <w:rPr>
                <w:sz w:val="18"/>
                <w:szCs w:val="18"/>
              </w:rPr>
              <w:t xml:space="preserve"> (BUS-1 9). Construct the labeled directed graph of relationships in A and in B and test for isomorphism under the identity mapping from RT-1. </w:t>
            </w:r>
            <w:r>
              <w:rPr>
                <w:i/>
                <w:iCs/>
                <w:sz w:val="18"/>
                <w:szCs w:val="18"/>
              </w:rPr>
              <w:t xml:space="preserve">Pass:</w:t>
            </w:r>
            <w:r>
              <w:rPr>
                <w:sz w:val="18"/>
                <w:szCs w:val="18"/>
              </w:rPr>
              <w:t xml:space="preserve"> The graphs are isomorphic, including predicate, direction, medium and qualifiers. Inverse-form substitution is permitted; loss of a relationship is not.</w:t>
            </w:r>
          </w:p>
        </w:tc>
      </w:tr>
      <w:tr>
        <w:trPr>
          <w:cantSplit/>
        </w:trPr>
        <w:tc>
          <w:tcPr>
            <w:tcW w:type="dxa" w:w="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RT-4</w:t>
            </w:r>
          </w:p>
        </w:tc>
        <w:tc>
          <w:tcPr>
            <w:tcW w:type="dxa" w:w="1150"/>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AF9F6" w:color="auto" w:val="clear"/>
            <w:tcMar>
              <w:top w:type="dxa" w:w="120"/>
              <w:left w:type="dxa" w:w="160"/>
              <w:bottom w:type="dxa" w:w="120"/>
              <w:right w:type="dxa" w:w="160"/>
            </w:tcMar>
            <w:vAlign w:val="top"/>
          </w:tcPr>
          <w:p>
            <w:pPr>
              <w:spacing w:after="0" w:line="260"/>
            </w:pPr>
            <w:r>
              <w:rPr>
                <w:b/>
                <w:bCs/>
                <w:color w:val="1A1D21"/>
                <w:sz w:val="18"/>
                <w:szCs w:val="18"/>
              </w:rPr>
              <w:t xml:space="preserve">Intent distinguishability</w:t>
            </w:r>
            <w:r>
              <w:rPr>
                <w:sz w:val="18"/>
                <w:szCs w:val="18"/>
              </w:rPr>
              <w:t xml:space="preserve"> (BUS-1 10). For each Objective, Target, Constraint, Schedule and SequenceReference in A, locate it in B. </w:t>
            </w:r>
            <w:r>
              <w:rPr>
                <w:i/>
                <w:iCs/>
                <w:sz w:val="18"/>
                <w:szCs w:val="18"/>
              </w:rPr>
              <w:t xml:space="preserve">Pass:</w:t>
            </w:r>
            <w:r>
              <w:rPr>
                <w:sz w:val="18"/>
                <w:szCs w:val="18"/>
              </w:rPr>
              <w:t xml:space="preserve"> The receiving system can still distinguish what should happen from what is happening and what happened. Constraints retain their constraintKind and bounds; schedules retain their recurrence and exceptions.</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RT-5</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Provenance retention</w:t>
            </w:r>
            <w:r>
              <w:rPr>
                <w:sz w:val="18"/>
                <w:szCs w:val="18"/>
              </w:rPr>
              <w:t xml:space="preserve"> (BUS-1 14). Compare provenance blocks and ChangeRecords. </w:t>
            </w:r>
            <w:r>
              <w:rPr>
                <w:i/>
                <w:iCs/>
                <w:sz w:val="18"/>
                <w:szCs w:val="18"/>
              </w:rPr>
              <w:t xml:space="preserve">Pass:</w:t>
            </w:r>
            <w:r>
              <w:rPr>
                <w:sz w:val="18"/>
                <w:szCs w:val="18"/>
              </w:rPr>
              <w:t xml:space="preserve"> assertedBy, assertedAt, method, source, confidence and approvals survive. The receiving system </w:t>
            </w:r>
            <w:r>
              <w:rPr>
                <w:b/>
                <w:bCs/>
                <w:color w:val="8C6D46"/>
                <w:sz w:val="18"/>
                <w:szCs w:val="18"/>
              </w:rPr>
              <w:t xml:space="preserve">MAY</w:t>
            </w:r>
            <w:r>
              <w:rPr>
                <w:sz w:val="18"/>
                <w:szCs w:val="18"/>
              </w:rPr>
              <w:t xml:space="preserve"> add its own provenance; it </w:t>
            </w:r>
            <w:r>
              <w:rPr>
                <w:b/>
                <w:bCs/>
                <w:color w:val="8C6D46"/>
                <w:sz w:val="18"/>
                <w:szCs w:val="18"/>
              </w:rPr>
              <w:t xml:space="preserve">MUST NOT</w:t>
            </w:r>
            <w:r>
              <w:rPr>
                <w:sz w:val="18"/>
                <w:szCs w:val="18"/>
              </w:rPr>
              <w:t xml:space="preserve"> overwrite the original.</w:t>
            </w:r>
          </w:p>
        </w:tc>
      </w:tr>
      <w:tr>
        <w:trPr>
          <w:cantSplit/>
        </w:trPr>
        <w:tc>
          <w:tcPr>
            <w:tcW w:type="dxa" w:w="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RT-6</w:t>
            </w:r>
          </w:p>
        </w:tc>
        <w:tc>
          <w:tcPr>
            <w:tcW w:type="dxa" w:w="1150"/>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AF9F6" w:color="auto" w:val="clear"/>
            <w:tcMar>
              <w:top w:type="dxa" w:w="120"/>
              <w:left w:type="dxa" w:w="160"/>
              <w:bottom w:type="dxa" w:w="120"/>
              <w:right w:type="dxa" w:w="160"/>
            </w:tcMar>
            <w:vAlign w:val="top"/>
          </w:tcPr>
          <w:p>
            <w:pPr>
              <w:spacing w:after="0" w:line="260"/>
            </w:pPr>
            <w:r>
              <w:rPr>
                <w:b/>
                <w:bCs/>
                <w:color w:val="1A1D21"/>
                <w:sz w:val="18"/>
                <w:szCs w:val="18"/>
              </w:rPr>
              <w:t xml:space="preserve">Unknown extension preservation</w:t>
            </w:r>
            <w:r>
              <w:rPr>
                <w:sz w:val="18"/>
                <w:szCs w:val="18"/>
              </w:rPr>
              <w:t xml:space="preserve"> (BUS-1 15.4). Include in A an extension namespace the receiving system does not implement, with mustUnderstand false, attached to at least one entity of each core class. </w:t>
            </w:r>
            <w:r>
              <w:rPr>
                <w:i/>
                <w:iCs/>
                <w:sz w:val="18"/>
                <w:szCs w:val="18"/>
              </w:rPr>
              <w:t xml:space="preserve">Pass:</w:t>
            </w:r>
            <w:r>
              <w:rPr>
                <w:sz w:val="18"/>
                <w:szCs w:val="18"/>
              </w:rPr>
              <w:t xml:space="preserve"> Every extension value reappears in B byte-identical after canonicalization, and the namespace is still declared in B's manifest.</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RT-7</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Must-understand refusal</w:t>
            </w:r>
            <w:r>
              <w:rPr>
                <w:sz w:val="18"/>
                <w:szCs w:val="18"/>
              </w:rPr>
              <w:t xml:space="preserve"> (BUS-1 15.4). Include in A an extension with mustUnderstand true that the receiving system does not implement. </w:t>
            </w:r>
            <w:r>
              <w:rPr>
                <w:i/>
                <w:iCs/>
                <w:sz w:val="18"/>
                <w:szCs w:val="18"/>
              </w:rPr>
              <w:t xml:space="preserve">Pass:</w:t>
            </w:r>
            <w:r>
              <w:rPr>
                <w:sz w:val="18"/>
                <w:szCs w:val="18"/>
              </w:rPr>
              <w:t xml:space="preserve"> The importer reports the import as incomplete and names the namespace. It </w:t>
            </w:r>
            <w:r>
              <w:rPr>
                <w:b/>
                <w:bCs/>
                <w:color w:val="8C6D46"/>
                <w:sz w:val="18"/>
                <w:szCs w:val="18"/>
              </w:rPr>
              <w:t xml:space="preserve">MUST NOT</w:t>
            </w:r>
            <w:r>
              <w:rPr>
                <w:sz w:val="18"/>
                <w:szCs w:val="18"/>
              </w:rPr>
              <w:t xml:space="preserve"> report success, and it </w:t>
            </w:r>
            <w:r>
              <w:rPr>
                <w:b/>
                <w:bCs/>
                <w:color w:val="8C6D46"/>
                <w:sz w:val="18"/>
                <w:szCs w:val="18"/>
              </w:rPr>
              <w:t xml:space="preserve">MUST</w:t>
            </w:r>
            <w:r>
              <w:rPr>
                <w:sz w:val="18"/>
                <w:szCs w:val="18"/>
              </w:rPr>
              <w:t xml:space="preserve"> still preserve the data.</w:t>
            </w:r>
          </w:p>
        </w:tc>
      </w:tr>
      <w:tr>
        <w:trPr>
          <w:cantSplit/>
        </w:trPr>
        <w:tc>
          <w:tcPr>
            <w:tcW w:type="dxa" w:w="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RT-8</w:t>
            </w:r>
          </w:p>
        </w:tc>
        <w:tc>
          <w:tcPr>
            <w:tcW w:type="dxa" w:w="1150"/>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AF9F6" w:color="auto" w:val="clear"/>
            <w:tcMar>
              <w:top w:type="dxa" w:w="120"/>
              <w:left w:type="dxa" w:w="160"/>
              <w:bottom w:type="dxa" w:w="120"/>
              <w:right w:type="dxa" w:w="160"/>
            </w:tcMar>
            <w:vAlign w:val="top"/>
          </w:tcPr>
          <w:p>
            <w:pPr>
              <w:spacing w:after="0" w:line="260"/>
            </w:pPr>
            <w:r>
              <w:rPr>
                <w:b/>
                <w:bCs/>
                <w:color w:val="1A1D21"/>
                <w:sz w:val="18"/>
                <w:szCs w:val="18"/>
              </w:rPr>
              <w:t xml:space="preserve">Resource integrity</w:t>
            </w:r>
            <w:r>
              <w:rPr>
                <w:sz w:val="18"/>
                <w:szCs w:val="18"/>
              </w:rPr>
              <w:t xml:space="preserve"> (BUS-1 16.5). Compare resource payloads and digests between A and B. </w:t>
            </w:r>
            <w:r>
              <w:rPr>
                <w:i/>
                <w:iCs/>
                <w:sz w:val="18"/>
                <w:szCs w:val="18"/>
              </w:rPr>
              <w:t xml:space="preserve">Pass:</w:t>
            </w:r>
            <w:r>
              <w:rPr>
                <w:sz w:val="18"/>
                <w:szCs w:val="18"/>
              </w:rPr>
              <w:t xml:space="preserve"> Included resources are byte-identical and digests match. Externally referenced resources retain their URI and digest.</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RT-9</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Telemetry binding retention</w:t>
            </w:r>
            <w:r>
              <w:rPr>
                <w:sz w:val="18"/>
                <w:szCs w:val="18"/>
              </w:rPr>
              <w:t xml:space="preserve"> (BUS-1 8.6). Compare the binding object of every point. </w:t>
            </w:r>
            <w:r>
              <w:rPr>
                <w:i/>
                <w:iCs/>
                <w:sz w:val="18"/>
                <w:szCs w:val="18"/>
              </w:rPr>
              <w:t xml:space="preserve">Pass:</w:t>
            </w:r>
            <w:r>
              <w:rPr>
                <w:sz w:val="18"/>
                <w:szCs w:val="18"/>
              </w:rPr>
              <w:t xml:space="preserve"> protocol, address, network and parameters are preserved verbatim, so acquisition can be re-established without rediscovery.</w:t>
            </w:r>
          </w:p>
        </w:tc>
      </w:tr>
      <w:tr>
        <w:trPr>
          <w:cantSplit/>
        </w:trPr>
        <w:tc>
          <w:tcPr>
            <w:tcW w:type="dxa" w:w="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RT-10</w:t>
            </w:r>
          </w:p>
        </w:tc>
        <w:tc>
          <w:tcPr>
            <w:tcW w:type="dxa" w:w="1150"/>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AF9F6" w:color="auto" w:val="clear"/>
            <w:tcMar>
              <w:top w:type="dxa" w:w="120"/>
              <w:left w:type="dxa" w:w="160"/>
              <w:bottom w:type="dxa" w:w="120"/>
              <w:right w:type="dxa" w:w="160"/>
            </w:tcMar>
            <w:vAlign w:val="top"/>
          </w:tcPr>
          <w:p>
            <w:pPr>
              <w:spacing w:after="0" w:line="260"/>
            </w:pPr>
            <w:r>
              <w:rPr>
                <w:b/>
                <w:bCs/>
                <w:color w:val="1A1D21"/>
                <w:sz w:val="18"/>
                <w:szCs w:val="18"/>
              </w:rPr>
              <w:t xml:space="preserve">Knowledge retention</w:t>
            </w:r>
            <w:r>
              <w:rPr>
                <w:sz w:val="18"/>
                <w:szCs w:val="18"/>
              </w:rPr>
              <w:t xml:space="preserve"> (BUS-1 8.9). Compare every KnowledgeNote and its attachment relationship. </w:t>
            </w:r>
            <w:r>
              <w:rPr>
                <w:i/>
                <w:iCs/>
                <w:sz w:val="18"/>
                <w:szCs w:val="18"/>
              </w:rPr>
              <w:t xml:space="preserve">Pass:</w:t>
            </w:r>
            <w:r>
              <w:rPr>
                <w:sz w:val="18"/>
                <w:szCs w:val="18"/>
              </w:rPr>
              <w:t xml:space="preserve"> Body text, noteKind, observedAt and the appliesTo relationship survive unaltered.</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RT-11</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Lifecycle continuity</w:t>
            </w:r>
            <w:r>
              <w:rPr>
                <w:sz w:val="18"/>
                <w:szCs w:val="18"/>
              </w:rPr>
              <w:t xml:space="preserve"> (BUS-1 9.3). In A, replace an asset and record bus:replaces and bus:replacedBy. Round-trip. </w:t>
            </w:r>
            <w:r>
              <w:rPr>
                <w:i/>
                <w:iCs/>
                <w:sz w:val="18"/>
                <w:szCs w:val="18"/>
              </w:rPr>
              <w:t xml:space="preserve">Pass:</w:t>
            </w:r>
            <w:r>
              <w:rPr>
                <w:sz w:val="18"/>
                <w:szCs w:val="18"/>
              </w:rPr>
              <w:t xml:space="preserve"> B retains both the superseded and the superseding entity and the replacement relationship, so history remains attributable across the change.</w:t>
            </w:r>
          </w:p>
        </w:tc>
      </w:tr>
      <w:tr>
        <w:trPr>
          <w:cantSplit/>
        </w:trPr>
        <w:tc>
          <w:tcPr>
            <w:tcW w:type="dxa" w:w="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RT-12</w:t>
            </w:r>
          </w:p>
        </w:tc>
        <w:tc>
          <w:tcPr>
            <w:tcW w:type="dxa" w:w="1150"/>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AF9F6" w:color="auto" w:val="clear"/>
            <w:tcMar>
              <w:top w:type="dxa" w:w="120"/>
              <w:left w:type="dxa" w:w="160"/>
              <w:bottom w:type="dxa" w:w="120"/>
              <w:right w:type="dxa" w:w="160"/>
            </w:tcMar>
            <w:vAlign w:val="top"/>
          </w:tcPr>
          <w:p>
            <w:pPr>
              <w:spacing w:after="0" w:line="260"/>
            </w:pPr>
            <w:r>
              <w:rPr>
                <w:b/>
                <w:bCs/>
                <w:color w:val="1A1D21"/>
                <w:sz w:val="18"/>
                <w:szCs w:val="18"/>
              </w:rPr>
              <w:t xml:space="preserve">Omission honesty</w:t>
            </w:r>
            <w:r>
              <w:rPr>
                <w:sz w:val="18"/>
                <w:szCs w:val="18"/>
              </w:rPr>
              <w:t xml:space="preserve"> (BUS-1 16.6). Compare B's completeness declaration against what B actually contains, and against A. </w:t>
            </w:r>
            <w:r>
              <w:rPr>
                <w:i/>
                <w:iCs/>
                <w:sz w:val="18"/>
                <w:szCs w:val="18"/>
              </w:rPr>
              <w:t xml:space="preserve">Pass:</w:t>
            </w:r>
            <w:r>
              <w:rPr>
                <w:sz w:val="18"/>
                <w:szCs w:val="18"/>
              </w:rPr>
              <w:t xml:space="preserve"> Anything present in A but absent from B is declared in B's completeness block with a reason. Silent loss is a failure of this test even when every other test passes.</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RT-13</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SHOULD</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Idempotence</w:t>
            </w:r>
            <w:r>
              <w:rPr>
                <w:sz w:val="18"/>
                <w:szCs w:val="18"/>
              </w:rPr>
              <w:t xml:space="preserve"> (BUS-1 17.5). Import B and re-export as C. </w:t>
            </w:r>
            <w:r>
              <w:rPr>
                <w:i/>
                <w:iCs/>
                <w:sz w:val="18"/>
                <w:szCs w:val="18"/>
              </w:rPr>
              <w:t xml:space="preserve">Pass:</w:t>
            </w:r>
            <w:r>
              <w:rPr>
                <w:sz w:val="18"/>
                <w:szCs w:val="18"/>
              </w:rPr>
              <w:t xml:space="preserve"> C and B are identical after canonicalization. Drift between successive round trips indicates unstable identity or unstable ordering.</w:t>
            </w:r>
          </w:p>
        </w:tc>
      </w:tr>
      <w:tr>
        <w:trPr>
          <w:cantSplit/>
        </w:trPr>
        <w:tc>
          <w:tcPr>
            <w:tcW w:type="dxa" w:w="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RT-14</w:t>
            </w:r>
          </w:p>
        </w:tc>
        <w:tc>
          <w:tcPr>
            <w:tcW w:type="dxa" w:w="1150"/>
            <w:shd w:fill="FAF9F6" w:color="auto" w:val="clear"/>
            <w:tcMar>
              <w:top w:type="dxa" w:w="120"/>
              <w:left w:type="dxa" w:w="160"/>
              <w:bottom w:type="dxa" w:w="120"/>
              <w:right w:type="dxa" w:w="160"/>
            </w:tcMar>
            <w:vAlign w:val="top"/>
          </w:tcPr>
          <w:p>
            <w:pPr>
              <w:spacing w:after="0" w:line="260"/>
            </w:pPr>
            <w:r>
              <w:rPr>
                <w:sz w:val="18"/>
                <w:szCs w:val="18"/>
              </w:rPr>
              <w:t xml:space="preserve">INFO</w:t>
            </w:r>
          </w:p>
        </w:tc>
        <w:tc>
          <w:tcPr>
            <w:tcW w:type="dxa" w:w="7222"/>
            <w:shd w:fill="FAF9F6" w:color="auto" w:val="clear"/>
            <w:tcMar>
              <w:top w:type="dxa" w:w="120"/>
              <w:left w:type="dxa" w:w="160"/>
              <w:bottom w:type="dxa" w:w="120"/>
              <w:right w:type="dxa" w:w="160"/>
            </w:tcMar>
            <w:vAlign w:val="top"/>
          </w:tcPr>
          <w:p>
            <w:pPr>
              <w:spacing w:after="0" w:line="260"/>
            </w:pPr>
            <w:r>
              <w:rPr>
                <w:b/>
                <w:bCs/>
                <w:color w:val="1A1D21"/>
                <w:sz w:val="18"/>
                <w:szCs w:val="18"/>
              </w:rPr>
              <w:t xml:space="preserve">Scale</w:t>
            </w:r>
            <w:r>
              <w:rPr>
                <w:sz w:val="18"/>
                <w:szCs w:val="18"/>
              </w:rPr>
              <w:t xml:space="preserve"> (BUS-1 16.4). Round-trip a package with at least 50000 points and 250000 relationships. </w:t>
            </w:r>
            <w:r>
              <w:rPr>
                <w:i/>
                <w:iCs/>
                <w:sz w:val="18"/>
                <w:szCs w:val="18"/>
              </w:rPr>
              <w:t xml:space="preserve">Pass:</w:t>
            </w:r>
            <w:r>
              <w:rPr>
                <w:sz w:val="18"/>
                <w:szCs w:val="18"/>
              </w:rPr>
              <w:t xml:space="preserve"> Report wall-clock export time, import time and peak memory. No pass or fail threshold is set in v0.1.</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RT-15</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Binding preservation</w:t>
            </w:r>
            <w:r>
              <w:rPr>
                <w:sz w:val="18"/>
                <w:szCs w:val="18"/>
              </w:rPr>
              <w:t xml:space="preserve"> (BUS-1 13.6). Compare every binding in A with its counterpart in B: element, target, channel, direction, mapping, quality. </w:t>
            </w:r>
            <w:r>
              <w:rPr>
                <w:i/>
                <w:iCs/>
                <w:sz w:val="18"/>
                <w:szCs w:val="18"/>
              </w:rPr>
              <w:t xml:space="preserve">Pass:</w:t>
            </w:r>
            <w:r>
              <w:rPr>
                <w:sz w:val="18"/>
                <w:szCs w:val="18"/>
              </w:rPr>
              <w:t xml:space="preserve"> All survive. A binding lost, repointed, or reduced to a different channel is a failure, even where the graphic still renders.</w:t>
            </w:r>
          </w:p>
        </w:tc>
      </w:tr>
      <w:tr>
        <w:trPr>
          <w:cantSplit/>
        </w:trPr>
        <w:tc>
          <w:tcPr>
            <w:tcW w:type="dxa" w:w="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RT-16</w:t>
            </w:r>
          </w:p>
        </w:tc>
        <w:tc>
          <w:tcPr>
            <w:tcW w:type="dxa" w:w="1150"/>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AF9F6" w:color="auto" w:val="clear"/>
            <w:tcMar>
              <w:top w:type="dxa" w:w="120"/>
              <w:left w:type="dxa" w:w="160"/>
              <w:bottom w:type="dxa" w:w="120"/>
              <w:right w:type="dxa" w:w="160"/>
            </w:tcMar>
            <w:vAlign w:val="top"/>
          </w:tcPr>
          <w:p>
            <w:pPr>
              <w:spacing w:after="0" w:line="260"/>
            </w:pPr>
            <w:r>
              <w:rPr>
                <w:b/>
                <w:bCs/>
                <w:color w:val="1A1D21"/>
                <w:sz w:val="18"/>
                <w:szCs w:val="18"/>
              </w:rPr>
              <w:t xml:space="preserve">Command priority is not substituted</w:t>
            </w:r>
            <w:r>
              <w:rPr>
                <w:sz w:val="18"/>
                <w:szCs w:val="18"/>
              </w:rPr>
              <w:t xml:space="preserve"> (BUS-1 13.7). Round-trip a write binding whose priority the receiving system does not natively support. </w:t>
            </w:r>
            <w:r>
              <w:rPr>
                <w:i/>
                <w:iCs/>
                <w:sz w:val="18"/>
                <w:szCs w:val="18"/>
              </w:rPr>
              <w:t xml:space="preserve">Pass:</w:t>
            </w:r>
            <w:r>
              <w:rPr>
                <w:sz w:val="18"/>
                <w:szCs w:val="18"/>
              </w:rPr>
              <w:t xml:space="preserve"> The priority is re-exported unchanged and the importer reported that it could not honor it. Silent substitution is a failure even though the graphic appears identical.</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RT-17</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Quality behavior preservation</w:t>
            </w:r>
            <w:r>
              <w:rPr>
                <w:sz w:val="18"/>
                <w:szCs w:val="18"/>
              </w:rPr>
              <w:t xml:space="preserve"> (BUS-1 13.6). Compare the quality block of every binding. </w:t>
            </w:r>
            <w:r>
              <w:rPr>
                <w:i/>
                <w:iCs/>
                <w:sz w:val="18"/>
                <w:szCs w:val="18"/>
              </w:rPr>
              <w:t xml:space="preserve">Pass:</w:t>
            </w:r>
            <w:r>
              <w:rPr>
                <w:sz w:val="18"/>
                <w:szCs w:val="18"/>
              </w:rPr>
              <w:t xml:space="preserve"> staleAfter, onStale, onUnavailable and onOutOfService survive unchanged.</w:t>
            </w:r>
          </w:p>
        </w:tc>
      </w:tr>
      <w:tr>
        <w:trPr>
          <w:cantSplit/>
        </w:trPr>
        <w:tc>
          <w:tcPr>
            <w:tcW w:type="dxa" w:w="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RT-18</w:t>
            </w:r>
          </w:p>
        </w:tc>
        <w:tc>
          <w:tcPr>
            <w:tcW w:type="dxa" w:w="1150"/>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AF9F6" w:color="auto" w:val="clear"/>
            <w:tcMar>
              <w:top w:type="dxa" w:w="120"/>
              <w:left w:type="dxa" w:w="160"/>
              <w:bottom w:type="dxa" w:w="120"/>
              <w:right w:type="dxa" w:w="160"/>
            </w:tcMar>
            <w:vAlign w:val="top"/>
          </w:tcPr>
          <w:p>
            <w:pPr>
              <w:spacing w:after="0" w:line="260"/>
            </w:pPr>
            <w:r>
              <w:rPr>
                <w:b/>
                <w:bCs/>
                <w:color w:val="1A1D21"/>
                <w:sz w:val="18"/>
                <w:szCs w:val="18"/>
              </w:rPr>
              <w:t xml:space="preserve">Geometry fidelity</w:t>
            </w:r>
            <w:r>
              <w:rPr>
                <w:sz w:val="18"/>
                <w:szCs w:val="18"/>
              </w:rPr>
              <w:t xml:space="preserve"> (BUS-1 13.5). Compare drawing coordinate systems, extents, layer purposes, and every element geometry and transform. </w:t>
            </w:r>
            <w:r>
              <w:rPr>
                <w:i/>
                <w:iCs/>
                <w:sz w:val="18"/>
                <w:szCs w:val="18"/>
              </w:rPr>
              <w:t xml:space="preserve">Pass:</w:t>
            </w:r>
            <w:r>
              <w:rPr>
                <w:sz w:val="18"/>
                <w:szCs w:val="18"/>
              </w:rPr>
              <w:t xml:space="preserve"> Coordinates agree within one part in 10000 of the drawing extent. The coordinate system, georeference, and layer purposes are unchanged.</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RT-19</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Symbol role fallback</w:t>
            </w:r>
            <w:r>
              <w:rPr>
                <w:sz w:val="18"/>
                <w:szCs w:val="18"/>
              </w:rPr>
              <w:t xml:space="preserve"> (BUS-1 13.4). Include an element whose leaf symbol role the receiving system does not implement but whose ancestor it does. </w:t>
            </w:r>
            <w:r>
              <w:rPr>
                <w:i/>
                <w:iCs/>
                <w:sz w:val="18"/>
                <w:szCs w:val="18"/>
              </w:rPr>
              <w:t xml:space="preserve">Pass:</w:t>
            </w:r>
            <w:r>
              <w:rPr>
                <w:sz w:val="18"/>
                <w:szCs w:val="18"/>
              </w:rPr>
              <w:t xml:space="preserve"> The receiver renders using the ancestor role and re-exports the original leaf role unchanged. Substituting the ancestor into the exported data is a failure.</w:t>
            </w:r>
          </w:p>
        </w:tc>
      </w:tr>
      <w:tr>
        <w:trPr>
          <w:cantSplit/>
        </w:trPr>
        <w:tc>
          <w:tcPr>
            <w:tcW w:type="dxa" w:w="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RT-20</w:t>
            </w:r>
          </w:p>
        </w:tc>
        <w:tc>
          <w:tcPr>
            <w:tcW w:type="dxa" w:w="1150"/>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AF9F6" w:color="auto" w:val="clear"/>
            <w:tcMar>
              <w:top w:type="dxa" w:w="120"/>
              <w:left w:type="dxa" w:w="160"/>
              <w:bottom w:type="dxa" w:w="120"/>
              <w:right w:type="dxa" w:w="160"/>
            </w:tcMar>
            <w:vAlign w:val="top"/>
          </w:tcPr>
          <w:p>
            <w:pPr>
              <w:spacing w:after="0" w:line="260"/>
            </w:pPr>
            <w:r>
              <w:rPr>
                <w:b/>
                <w:bCs/>
                <w:color w:val="1A1D21"/>
                <w:sz w:val="18"/>
                <w:szCs w:val="18"/>
              </w:rPr>
              <w:t xml:space="preserve">Bespoke figure preservation</w:t>
            </w:r>
            <w:r>
              <w:rPr>
                <w:sz w:val="18"/>
                <w:szCs w:val="18"/>
              </w:rPr>
              <w:t xml:space="preserve"> (BUS-1 13.4). Round-trip an element carrying a figure payload for which no symbol role applies. </w:t>
            </w:r>
            <w:r>
              <w:rPr>
                <w:i/>
                <w:iCs/>
                <w:sz w:val="18"/>
                <w:szCs w:val="18"/>
              </w:rPr>
              <w:t xml:space="preserve">Pass:</w:t>
            </w:r>
            <w:r>
              <w:rPr>
                <w:sz w:val="18"/>
                <w:szCs w:val="18"/>
              </w:rPr>
              <w:t xml:space="preserve"> The figure survives byte-identical after canonicalization and is rendered substantially as given rather than replaced by a library symbol.</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RT-21</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Property definitions survive</w:t>
            </w:r>
            <w:r>
              <w:rPr>
                <w:sz w:val="18"/>
                <w:szCs w:val="18"/>
              </w:rPr>
              <w:t xml:space="preserve"> (BUS-1 7.8). Compare every property definition and every property value. </w:t>
            </w:r>
            <w:r>
              <w:rPr>
                <w:i/>
                <w:iCs/>
                <w:sz w:val="18"/>
                <w:szCs w:val="18"/>
              </w:rPr>
              <w:t xml:space="preserve">Pass:</w:t>
            </w:r>
            <w:r>
              <w:rPr>
                <w:sz w:val="18"/>
                <w:szCs w:val="18"/>
              </w:rPr>
              <w:t xml:space="preserve"> Definitions survive with their meaning text intact. No property is re-exported without its definition, and no definition is silently merged with another of the same name but different meaning.</w:t>
            </w:r>
          </w:p>
        </w:tc>
      </w:tr>
      <w:tr>
        <w:trPr>
          <w:cantSplit/>
        </w:trPr>
        <w:tc>
          <w:tcPr>
            <w:tcW w:type="dxa" w:w="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RT-22</w:t>
            </w:r>
          </w:p>
        </w:tc>
        <w:tc>
          <w:tcPr>
            <w:tcW w:type="dxa" w:w="1150"/>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AF9F6" w:color="auto" w:val="clear"/>
            <w:tcMar>
              <w:top w:type="dxa" w:w="120"/>
              <w:left w:type="dxa" w:w="160"/>
              <w:bottom w:type="dxa" w:w="120"/>
              <w:right w:type="dxa" w:w="160"/>
            </w:tcMar>
            <w:vAlign w:val="top"/>
          </w:tcPr>
          <w:p>
            <w:pPr>
              <w:spacing w:after="0" w:line="260"/>
            </w:pPr>
            <w:r>
              <w:rPr>
                <w:b/>
                <w:bCs/>
                <w:color w:val="1A1D21"/>
                <w:sz w:val="18"/>
                <w:szCs w:val="18"/>
              </w:rPr>
              <w:t xml:space="preserve">Alarm configuration survives</w:t>
            </w:r>
            <w:r>
              <w:rPr>
                <w:sz w:val="18"/>
                <w:szCs w:val="18"/>
              </w:rPr>
              <w:t xml:space="preserve"> (BUS-1 11). Compare every alarm definition: limits, deadband, delays, priority, acknowledgment, shelving and routing. </w:t>
            </w:r>
            <w:r>
              <w:rPr>
                <w:i/>
                <w:iCs/>
                <w:sz w:val="18"/>
                <w:szCs w:val="18"/>
              </w:rPr>
              <w:t xml:space="preserve">Pass:</w:t>
            </w:r>
            <w:r>
              <w:rPr>
                <w:sz w:val="18"/>
                <w:szCs w:val="18"/>
              </w:rPr>
              <w:t xml:space="preserve"> All survive. Routing that the receiver cannot execute is preserved and reported as unenforced, not dropped.</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RT-23</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Events survive with their subjects</w:t>
            </w:r>
            <w:r>
              <w:rPr>
                <w:sz w:val="18"/>
                <w:szCs w:val="18"/>
              </w:rPr>
              <w:t xml:space="preserve"> (BUS-1 12). Compare every event and its subject reference. </w:t>
            </w:r>
            <w:r>
              <w:rPr>
                <w:i/>
                <w:iCs/>
                <w:sz w:val="18"/>
                <w:szCs w:val="18"/>
              </w:rPr>
              <w:t xml:space="preserve">Pass:</w:t>
            </w:r>
            <w:r>
              <w:rPr>
                <w:sz w:val="18"/>
                <w:szCs w:val="18"/>
              </w:rPr>
              <w:t xml:space="preserve"> Event kind, timestamps, actor, values and subject survive. An override event that loses its subject is a failure.</w:t>
            </w:r>
          </w:p>
        </w:tc>
      </w:tr>
      <w:tr>
        <w:trPr>
          <w:cantSplit/>
        </w:trPr>
        <w:tc>
          <w:tcPr>
            <w:tcW w:type="dxa" w:w="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RT-24</w:t>
            </w:r>
          </w:p>
        </w:tc>
        <w:tc>
          <w:tcPr>
            <w:tcW w:type="dxa" w:w="1150"/>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AF9F6" w:color="auto" w:val="clear"/>
            <w:tcMar>
              <w:top w:type="dxa" w:w="120"/>
              <w:left w:type="dxa" w:w="160"/>
              <w:bottom w:type="dxa" w:w="120"/>
              <w:right w:type="dxa" w:w="160"/>
            </w:tcMar>
            <w:vAlign w:val="top"/>
          </w:tcPr>
          <w:p>
            <w:pPr>
              <w:spacing w:after="0" w:line="260"/>
            </w:pPr>
            <w:r>
              <w:rPr>
                <w:b/>
                <w:bCs/>
                <w:color w:val="1A1D21"/>
                <w:sz w:val="18"/>
                <w:szCs w:val="18"/>
              </w:rPr>
              <w:t xml:space="preserve">Revision continuity</w:t>
            </w:r>
            <w:r>
              <w:rPr>
                <w:sz w:val="18"/>
                <w:szCs w:val="18"/>
              </w:rPr>
              <w:t xml:space="preserve"> (BUS-1 6.6). Compare the versioning block of every entity across the round-trip. </w:t>
            </w:r>
            <w:r>
              <w:rPr>
                <w:i/>
                <w:iCs/>
                <w:sz w:val="18"/>
                <w:szCs w:val="18"/>
              </w:rPr>
              <w:t xml:space="preserve">Pass:</w:t>
            </w:r>
            <w:r>
              <w:rPr>
                <w:sz w:val="18"/>
                <w:szCs w:val="18"/>
              </w:rPr>
              <w:t xml:space="preserve"> Revision numbers are preserved or advanced, never reset. An entity re-exported at revision 1 having arrived at revision 4 is a failure.</w:t>
            </w:r>
          </w:p>
        </w:tc>
      </w:tr>
    </w:tbl>
    <w:p>
      <w:pPr>
        <w:pStyle w:val="Heading2"/>
      </w:pPr>
      <w:r>
        <w:rPr>
          <w:color w:val="8C6D46"/>
        </w:rPr>
        <w:t xml:space="preserve">A.4</w:t>
      </w:r>
      <w:r>
        <w:t xml:space="preserve">  </w:t>
      </w:r>
      <w:r>
        <w:t xml:space="preserve">Group IM — Importer behavior</w:t>
      </w:r>
    </w:p>
    <w:p>
      <w:pPr>
        <w:pStyle w:val="BodyCopy"/>
      </w:pPr>
      <w:r>
        <w:t xml:space="preserve">Target: importer.</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700"/>
        <w:gridCol w:w="1150"/>
        <w:gridCol w:w="7222"/>
      </w:tblGrid>
      <w:tr>
        <w:trPr>
          <w:cantSplit/>
          <w:tblHeader/>
        </w:trPr>
        <w:tc>
          <w:tcPr>
            <w:tcW w:type="dxa" w:w="7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ID</w:t>
            </w:r>
          </w:p>
        </w:tc>
        <w:tc>
          <w:tcPr>
            <w:tcW w:type="dxa" w:w="115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Grade</w:t>
            </w:r>
          </w:p>
        </w:tc>
        <w:tc>
          <w:tcPr>
            <w:tcW w:type="dxa" w:w="722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Test and pass criterion</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IM-1</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Rejects a corrupt digest</w:t>
            </w:r>
            <w:r>
              <w:rPr>
                <w:sz w:val="18"/>
                <w:szCs w:val="18"/>
              </w:rPr>
              <w:t xml:space="preserve"> (BUS-1 16.5). Present a package in which one document digest does not match. </w:t>
            </w:r>
            <w:r>
              <w:rPr>
                <w:i/>
                <w:iCs/>
                <w:sz w:val="18"/>
                <w:szCs w:val="18"/>
              </w:rPr>
              <w:t xml:space="preserve">Pass:</w:t>
            </w:r>
            <w:r>
              <w:rPr>
                <w:sz w:val="18"/>
                <w:szCs w:val="18"/>
              </w:rPr>
              <w:t xml:space="preserve"> The importer refuses the package and names the failing path. Partial silent ingestion is a failure.</w:t>
            </w:r>
          </w:p>
        </w:tc>
      </w:tr>
      <w:tr>
        <w:trPr>
          <w:cantSplit/>
        </w:trPr>
        <w:tc>
          <w:tcPr>
            <w:tcW w:type="dxa" w:w="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IM-2</w:t>
            </w:r>
          </w:p>
        </w:tc>
        <w:tc>
          <w:tcPr>
            <w:tcW w:type="dxa" w:w="1150"/>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AF9F6" w:color="auto" w:val="clear"/>
            <w:tcMar>
              <w:top w:type="dxa" w:w="120"/>
              <w:left w:type="dxa" w:w="160"/>
              <w:bottom w:type="dxa" w:w="120"/>
              <w:right w:type="dxa" w:w="160"/>
            </w:tcMar>
            <w:vAlign w:val="top"/>
          </w:tcPr>
          <w:p>
            <w:pPr>
              <w:spacing w:after="0" w:line="260"/>
            </w:pPr>
            <w:r>
              <w:rPr>
                <w:b/>
                <w:bCs/>
                <w:color w:val="1A1D21"/>
                <w:sz w:val="18"/>
                <w:szCs w:val="18"/>
              </w:rPr>
              <w:t xml:space="preserve">Rejects an unknown major version</w:t>
            </w:r>
            <w:r>
              <w:rPr>
                <w:sz w:val="18"/>
                <w:szCs w:val="18"/>
              </w:rPr>
              <w:t xml:space="preserve"> (BUS-1 18.2). Present a package whose busVersion has a higher major number. </w:t>
            </w:r>
            <w:r>
              <w:rPr>
                <w:i/>
                <w:iCs/>
                <w:sz w:val="18"/>
                <w:szCs w:val="18"/>
              </w:rPr>
              <w:t xml:space="preserve">Pass:</w:t>
            </w:r>
            <w:r>
              <w:rPr>
                <w:sz w:val="18"/>
                <w:szCs w:val="18"/>
              </w:rPr>
              <w:t xml:space="preserve"> The importer refuses and reports the version it supports.</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IM-3</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Accepts an unknown minor version</w:t>
            </w:r>
            <w:r>
              <w:rPr>
                <w:sz w:val="18"/>
                <w:szCs w:val="18"/>
              </w:rPr>
              <w:t xml:space="preserve"> (BUS-1 18.2). Present a package whose busVersion has the same major and a higher minor number. </w:t>
            </w:r>
            <w:r>
              <w:rPr>
                <w:i/>
                <w:iCs/>
                <w:sz w:val="18"/>
                <w:szCs w:val="18"/>
              </w:rPr>
              <w:t xml:space="preserve">Pass:</w:t>
            </w:r>
            <w:r>
              <w:rPr>
                <w:sz w:val="18"/>
                <w:szCs w:val="18"/>
              </w:rPr>
              <w:t xml:space="preserve"> The importer accepts it, preserves what it does not understand, and reports which constructs it ignored.</w:t>
            </w:r>
          </w:p>
        </w:tc>
      </w:tr>
      <w:tr>
        <w:trPr>
          <w:cantSplit/>
        </w:trPr>
        <w:tc>
          <w:tcPr>
            <w:tcW w:type="dxa" w:w="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IM-4</w:t>
            </w:r>
          </w:p>
        </w:tc>
        <w:tc>
          <w:tcPr>
            <w:tcW w:type="dxa" w:w="1150"/>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AF9F6" w:color="auto" w:val="clear"/>
            <w:tcMar>
              <w:top w:type="dxa" w:w="120"/>
              <w:left w:type="dxa" w:w="160"/>
              <w:bottom w:type="dxa" w:w="120"/>
              <w:right w:type="dxa" w:w="160"/>
            </w:tcMar>
            <w:vAlign w:val="top"/>
          </w:tcPr>
          <w:p>
            <w:pPr>
              <w:spacing w:after="0" w:line="260"/>
            </w:pPr>
            <w:r>
              <w:rPr>
                <w:b/>
                <w:bCs/>
                <w:color w:val="1A1D21"/>
                <w:sz w:val="18"/>
                <w:szCs w:val="18"/>
              </w:rPr>
              <w:t xml:space="preserve">Tolerates unknown enumeration members</w:t>
            </w:r>
            <w:r>
              <w:rPr>
                <w:sz w:val="18"/>
                <w:szCs w:val="18"/>
              </w:rPr>
              <w:t xml:space="preserve"> (BUS-1 18.3). Present a package using an enumeration member added after the importer was built. </w:t>
            </w:r>
            <w:r>
              <w:rPr>
                <w:i/>
                <w:iCs/>
                <w:sz w:val="18"/>
                <w:szCs w:val="18"/>
              </w:rPr>
              <w:t xml:space="preserve">Pass:</w:t>
            </w:r>
            <w:r>
              <w:rPr>
                <w:sz w:val="18"/>
                <w:szCs w:val="18"/>
              </w:rPr>
              <w:t xml:space="preserve"> The importer preserves the value and does not coerce it to a default.</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IM-5</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SHOULD</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Reports a coverage summary</w:t>
            </w:r>
            <w:r>
              <w:rPr>
                <w:sz w:val="18"/>
                <w:szCs w:val="18"/>
              </w:rPr>
              <w:t xml:space="preserve"> (BUS-1 2.5). Import a valid package. </w:t>
            </w:r>
            <w:r>
              <w:rPr>
                <w:i/>
                <w:iCs/>
                <w:sz w:val="18"/>
                <w:szCs w:val="18"/>
              </w:rPr>
              <w:t xml:space="preserve">Pass:</w:t>
            </w:r>
            <w:r>
              <w:rPr>
                <w:sz w:val="18"/>
                <w:szCs w:val="18"/>
              </w:rPr>
              <w:t xml:space="preserve"> The importer produces a machine-readable summary of entities ingested, entities preserved but not interpreted, and constructs not understood.</w:t>
            </w:r>
          </w:p>
        </w:tc>
      </w:tr>
      <w:tr>
        <w:trPr>
          <w:cantSplit/>
        </w:trPr>
        <w:tc>
          <w:tcPr>
            <w:tcW w:type="dxa" w:w="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IM-6</w:t>
            </w:r>
          </w:p>
        </w:tc>
        <w:tc>
          <w:tcPr>
            <w:tcW w:type="dxa" w:w="1150"/>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AF9F6" w:color="auto" w:val="clear"/>
            <w:tcMar>
              <w:top w:type="dxa" w:w="120"/>
              <w:left w:type="dxa" w:w="160"/>
              <w:bottom w:type="dxa" w:w="120"/>
              <w:right w:type="dxa" w:w="160"/>
            </w:tcMar>
            <w:vAlign w:val="top"/>
          </w:tcPr>
          <w:p>
            <w:pPr>
              <w:spacing w:after="0" w:line="260"/>
            </w:pPr>
            <w:r>
              <w:rPr>
                <w:b/>
                <w:bCs/>
                <w:color w:val="1A1D21"/>
                <w:sz w:val="18"/>
                <w:szCs w:val="18"/>
              </w:rPr>
              <w:t xml:space="preserve">Unknown symbol role degrades rather than fails</w:t>
            </w:r>
            <w:r>
              <w:rPr>
                <w:sz w:val="18"/>
                <w:szCs w:val="18"/>
              </w:rPr>
              <w:t xml:space="preserve"> (BUS-1 13.4). Present an element with a symbol role several levels deeper than the importer implements. </w:t>
            </w:r>
            <w:r>
              <w:rPr>
                <w:i/>
                <w:iCs/>
                <w:sz w:val="18"/>
                <w:szCs w:val="18"/>
              </w:rPr>
              <w:t xml:space="preserve">Pass:</w:t>
            </w:r>
            <w:r>
              <w:rPr>
                <w:sz w:val="18"/>
                <w:szCs w:val="18"/>
              </w:rPr>
              <w:t xml:space="preserve"> The importer walks the dotted path upward, renders at the deepest ancestor it knows, and preserves the original role. Refusing the package or dropping the element is a failure.</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IM-7</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Reports unenforceable actuation</w:t>
            </w:r>
            <w:r>
              <w:rPr>
                <w:sz w:val="18"/>
                <w:szCs w:val="18"/>
              </w:rPr>
              <w:t xml:space="preserve"> (BUS-1 13.7). Present write bindings whose priority model, interlock, or confirmation requirement the importer cannot enforce. </w:t>
            </w:r>
            <w:r>
              <w:rPr>
                <w:i/>
                <w:iCs/>
                <w:sz w:val="18"/>
                <w:szCs w:val="18"/>
              </w:rPr>
              <w:t xml:space="preserve">Pass:</w:t>
            </w:r>
            <w:r>
              <w:rPr>
                <w:sz w:val="18"/>
                <w:szCs w:val="18"/>
              </w:rPr>
              <w:t xml:space="preserve"> Each is named in the import report as unenforced. Importing them as ordinary writes without report is a failure.</w:t>
            </w:r>
          </w:p>
        </w:tc>
      </w:tr>
      <w:tr>
        <w:trPr>
          <w:cantSplit/>
        </w:trPr>
        <w:tc>
          <w:tcPr>
            <w:tcW w:type="dxa" w:w="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IM-8</w:t>
            </w:r>
          </w:p>
        </w:tc>
        <w:tc>
          <w:tcPr>
            <w:tcW w:type="dxa" w:w="1150"/>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AF9F6" w:color="auto" w:val="clear"/>
            <w:tcMar>
              <w:top w:type="dxa" w:w="120"/>
              <w:left w:type="dxa" w:w="160"/>
              <w:bottom w:type="dxa" w:w="120"/>
              <w:right w:type="dxa" w:w="160"/>
            </w:tcMar>
            <w:vAlign w:val="top"/>
          </w:tcPr>
          <w:p>
            <w:pPr>
              <w:spacing w:after="0" w:line="260"/>
            </w:pPr>
            <w:r>
              <w:rPr>
                <w:b/>
                <w:bCs/>
                <w:color w:val="1A1D21"/>
                <w:sz w:val="18"/>
                <w:szCs w:val="18"/>
              </w:rPr>
              <w:t xml:space="preserve">Refuses undefined properties</w:t>
            </w:r>
            <w:r>
              <w:rPr>
                <w:sz w:val="18"/>
                <w:szCs w:val="18"/>
              </w:rPr>
              <w:t xml:space="preserve"> (BUS-1 7.8). Present a package containing a property value whose definition is absent. </w:t>
            </w:r>
            <w:r>
              <w:rPr>
                <w:i/>
                <w:iCs/>
                <w:sz w:val="18"/>
                <w:szCs w:val="18"/>
              </w:rPr>
              <w:t xml:space="preserve">Pass:</w:t>
            </w:r>
            <w:r>
              <w:rPr>
                <w:sz w:val="18"/>
                <w:szCs w:val="18"/>
              </w:rPr>
              <w:t xml:space="preserve"> The importer reports the package as invalid and names the property. Accepting it as an untyped string is a failure.</w:t>
            </w:r>
          </w:p>
        </w:tc>
      </w:tr>
    </w:tbl>
    <w:p>
      <w:pPr>
        <w:pStyle w:val="Heading2"/>
      </w:pPr>
      <w:r>
        <w:rPr>
          <w:color w:val="8C6D46"/>
        </w:rPr>
        <w:t xml:space="preserve">A.5</w:t>
      </w:r>
      <w:r>
        <w:t xml:space="preserve">  </w:t>
      </w:r>
      <w:r>
        <w:t xml:space="preserve">Group EX — Exporter behavior</w:t>
      </w:r>
    </w:p>
    <w:p>
      <w:pPr>
        <w:pStyle w:val="BodyCopy"/>
      </w:pPr>
      <w:r>
        <w:t xml:space="preserve">Target: exporter.</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700"/>
        <w:gridCol w:w="1150"/>
        <w:gridCol w:w="7222"/>
      </w:tblGrid>
      <w:tr>
        <w:trPr>
          <w:cantSplit/>
          <w:tblHeader/>
        </w:trPr>
        <w:tc>
          <w:tcPr>
            <w:tcW w:type="dxa" w:w="7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ID</w:t>
            </w:r>
          </w:p>
        </w:tc>
        <w:tc>
          <w:tcPr>
            <w:tcW w:type="dxa" w:w="115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Grade</w:t>
            </w:r>
          </w:p>
        </w:tc>
        <w:tc>
          <w:tcPr>
            <w:tcW w:type="dxa" w:w="722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Test and pass criterion</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EX-1</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Exports without a live vendor dependency</w:t>
            </w:r>
            <w:r>
              <w:rPr>
                <w:sz w:val="18"/>
                <w:szCs w:val="18"/>
              </w:rPr>
              <w:t xml:space="preserve"> (BUS-1 2.4). Produce a package and inspect it for references that can only be resolved by the exporting vendor. </w:t>
            </w:r>
            <w:r>
              <w:rPr>
                <w:i/>
                <w:iCs/>
                <w:sz w:val="18"/>
                <w:szCs w:val="18"/>
              </w:rPr>
              <w:t xml:space="preserve">Pass:</w:t>
            </w:r>
            <w:r>
              <w:rPr>
                <w:sz w:val="18"/>
                <w:szCs w:val="18"/>
              </w:rPr>
              <w:t xml:space="preserve"> Every reference is either resolvable inside the package or is a durable external locator with a digest. No reference requires a proprietary service to interpret.</w:t>
            </w:r>
          </w:p>
        </w:tc>
      </w:tr>
      <w:tr>
        <w:trPr>
          <w:cantSplit/>
        </w:trPr>
        <w:tc>
          <w:tcPr>
            <w:tcW w:type="dxa" w:w="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EX-2</w:t>
            </w:r>
          </w:p>
        </w:tc>
        <w:tc>
          <w:tcPr>
            <w:tcW w:type="dxa" w:w="1150"/>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AF9F6" w:color="auto" w:val="clear"/>
            <w:tcMar>
              <w:top w:type="dxa" w:w="120"/>
              <w:left w:type="dxa" w:w="160"/>
              <w:bottom w:type="dxa" w:w="120"/>
              <w:right w:type="dxa" w:w="160"/>
            </w:tcMar>
            <w:vAlign w:val="top"/>
          </w:tcPr>
          <w:p>
            <w:pPr>
              <w:spacing w:after="0" w:line="260"/>
            </w:pPr>
            <w:r>
              <w:rPr>
                <w:b/>
                <w:bCs/>
                <w:color w:val="1A1D21"/>
                <w:sz w:val="18"/>
                <w:szCs w:val="18"/>
              </w:rPr>
              <w:t xml:space="preserve">Identifier stability across exports</w:t>
            </w:r>
            <w:r>
              <w:rPr>
                <w:sz w:val="18"/>
                <w:szCs w:val="18"/>
              </w:rPr>
              <w:t xml:space="preserve"> (BUS-1 6.4). Export the same building twice with no intervening change. </w:t>
            </w:r>
            <w:r>
              <w:rPr>
                <w:i/>
                <w:iCs/>
                <w:sz w:val="18"/>
                <w:szCs w:val="18"/>
              </w:rPr>
              <w:t xml:space="preserve">Pass:</w:t>
            </w:r>
            <w:r>
              <w:rPr>
                <w:sz w:val="18"/>
                <w:szCs w:val="18"/>
              </w:rPr>
              <w:t xml:space="preserve"> Every entity id is identical in both exports.</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EX-3</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Identifier stability across change</w:t>
            </w:r>
            <w:r>
              <w:rPr>
                <w:sz w:val="18"/>
                <w:szCs w:val="18"/>
              </w:rPr>
              <w:t xml:space="preserve"> (BUS-1 6.4). Rename an asset, then export again. </w:t>
            </w:r>
            <w:r>
              <w:rPr>
                <w:i/>
                <w:iCs/>
                <w:sz w:val="18"/>
                <w:szCs w:val="18"/>
              </w:rPr>
              <w:t xml:space="preserve">Pass:</w:t>
            </w:r>
            <w:r>
              <w:rPr>
                <w:sz w:val="18"/>
                <w:szCs w:val="18"/>
              </w:rPr>
              <w:t xml:space="preserve"> The id is unchanged and the rename appears as a ChangeRecord.</w:t>
            </w:r>
          </w:p>
        </w:tc>
      </w:tr>
      <w:tr>
        <w:trPr>
          <w:cantSplit/>
        </w:trPr>
        <w:tc>
          <w:tcPr>
            <w:tcW w:type="dxa" w:w="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EX-4</w:t>
            </w:r>
          </w:p>
        </w:tc>
        <w:tc>
          <w:tcPr>
            <w:tcW w:type="dxa" w:w="1150"/>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AF9F6" w:color="auto" w:val="clear"/>
            <w:tcMar>
              <w:top w:type="dxa" w:w="120"/>
              <w:left w:type="dxa" w:w="160"/>
              <w:bottom w:type="dxa" w:w="120"/>
              <w:right w:type="dxa" w:w="160"/>
            </w:tcMar>
            <w:vAlign w:val="top"/>
          </w:tcPr>
          <w:p>
            <w:pPr>
              <w:spacing w:after="0" w:line="260"/>
            </w:pPr>
            <w:r>
              <w:rPr>
                <w:b/>
                <w:bCs/>
                <w:color w:val="1A1D21"/>
                <w:sz w:val="18"/>
                <w:szCs w:val="18"/>
              </w:rPr>
              <w:t xml:space="preserve">Export is not narrower than operation</w:t>
            </w:r>
            <w:r>
              <w:rPr>
                <w:sz w:val="18"/>
                <w:szCs w:val="18"/>
              </w:rPr>
              <w:t xml:space="preserve"> (BUS-1 2.4). Compare the exported model against the model the system uses to operate the building. </w:t>
            </w:r>
            <w:r>
              <w:rPr>
                <w:i/>
                <w:iCs/>
                <w:sz w:val="18"/>
                <w:szCs w:val="18"/>
              </w:rPr>
              <w:t xml:space="preserve">Pass:</w:t>
            </w:r>
            <w:r>
              <w:rPr>
                <w:sz w:val="18"/>
                <w:szCs w:val="18"/>
              </w:rPr>
              <w:t xml:space="preserve"> No construct the system relies on to operate is omitted without a completeness declaration naming it.</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EX-5</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SHOULD</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Owner-initiated export</w:t>
            </w:r>
            <w:r>
              <w:rPr>
                <w:sz w:val="18"/>
                <w:szCs w:val="18"/>
              </w:rPr>
              <w:t xml:space="preserve"> (BUS-1 2.2). Attempt an export as an operator-role user without vendor assistance. </w:t>
            </w:r>
            <w:r>
              <w:rPr>
                <w:i/>
                <w:iCs/>
                <w:sz w:val="18"/>
                <w:szCs w:val="18"/>
              </w:rPr>
              <w:t xml:space="preserve">Pass:</w:t>
            </w:r>
            <w:r>
              <w:rPr>
                <w:sz w:val="18"/>
                <w:szCs w:val="18"/>
              </w:rPr>
              <w:t xml:space="preserve"> The export completes without vendor involvement, professional services, or a support ticket.</w:t>
            </w:r>
          </w:p>
        </w:tc>
      </w:tr>
      <w:tr>
        <w:trPr>
          <w:cantSplit/>
        </w:trPr>
        <w:tc>
          <w:tcPr>
            <w:tcW w:type="dxa" w:w="7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EX-6</w:t>
            </w:r>
          </w:p>
        </w:tc>
        <w:tc>
          <w:tcPr>
            <w:tcW w:type="dxa" w:w="1150"/>
            <w:shd w:fill="FAF9F6"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AF9F6" w:color="auto" w:val="clear"/>
            <w:tcMar>
              <w:top w:type="dxa" w:w="120"/>
              <w:left w:type="dxa" w:w="160"/>
              <w:bottom w:type="dxa" w:w="120"/>
              <w:right w:type="dxa" w:w="160"/>
            </w:tcMar>
            <w:vAlign w:val="top"/>
          </w:tcPr>
          <w:p>
            <w:pPr>
              <w:spacing w:after="0" w:line="260"/>
            </w:pPr>
            <w:r>
              <w:rPr>
                <w:b/>
                <w:bCs/>
                <w:color w:val="1A1D21"/>
                <w:sz w:val="18"/>
                <w:szCs w:val="18"/>
              </w:rPr>
              <w:t xml:space="preserve">Graphics export is unaided</w:t>
            </w:r>
            <w:r>
              <w:rPr>
                <w:sz w:val="18"/>
                <w:szCs w:val="18"/>
              </w:rPr>
              <w:t xml:space="preserve"> (BUS-1 2.4). Export a floor plan and an equipment graphic as an operator-role user. </w:t>
            </w:r>
            <w:r>
              <w:rPr>
                <w:i/>
                <w:iCs/>
                <w:sz w:val="18"/>
                <w:szCs w:val="18"/>
              </w:rPr>
              <w:t xml:space="preserve">Pass:</w:t>
            </w:r>
            <w:r>
              <w:rPr>
                <w:sz w:val="18"/>
                <w:szCs w:val="18"/>
              </w:rPr>
              <w:t xml:space="preserve"> Both export with geometry, roles and bindings intact, without vendor involvement or professional services. This is the test the rebuild tax is measured against.</w:t>
            </w:r>
          </w:p>
        </w:tc>
      </w:tr>
      <w:tr>
        <w:trPr>
          <w:cantSplit/>
        </w:trPr>
        <w:tc>
          <w:tcPr>
            <w:tcW w:type="dxa" w:w="7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EX-7</w:t>
            </w:r>
          </w:p>
        </w:tc>
        <w:tc>
          <w:tcPr>
            <w:tcW w:type="dxa" w:w="1150"/>
            <w:shd w:fill="FFFFFF" w:color="auto" w:val="clear"/>
            <w:tcMar>
              <w:top w:type="dxa" w:w="120"/>
              <w:left w:type="dxa" w:w="160"/>
              <w:bottom w:type="dxa" w:w="120"/>
              <w:right w:type="dxa" w:w="160"/>
            </w:tcMar>
            <w:vAlign w:val="top"/>
          </w:tcPr>
          <w:p>
            <w:pPr>
              <w:spacing w:after="0" w:line="260"/>
            </w:pPr>
            <w:r>
              <w:rPr>
                <w:b/>
                <w:bCs/>
                <w:color w:val="8C6D46"/>
                <w:sz w:val="18"/>
                <w:szCs w:val="18"/>
              </w:rPr>
              <w:t xml:space="preserve">MUST</w:t>
            </w:r>
          </w:p>
        </w:tc>
        <w:tc>
          <w:tcPr>
            <w:tcW w:type="dxa" w:w="7222"/>
            <w:shd w:fill="FFFFFF" w:color="auto" w:val="clear"/>
            <w:tcMar>
              <w:top w:type="dxa" w:w="120"/>
              <w:left w:type="dxa" w:w="160"/>
              <w:bottom w:type="dxa" w:w="120"/>
              <w:right w:type="dxa" w:w="160"/>
            </w:tcMar>
            <w:vAlign w:val="top"/>
          </w:tcPr>
          <w:p>
            <w:pPr>
              <w:spacing w:after="0" w:line="260"/>
            </w:pPr>
            <w:r>
              <w:rPr>
                <w:b/>
                <w:bCs/>
                <w:color w:val="1A1D21"/>
                <w:sz w:val="18"/>
                <w:szCs w:val="18"/>
              </w:rPr>
              <w:t xml:space="preserve">Property definitions are published, not invented per export</w:t>
            </w:r>
            <w:r>
              <w:rPr>
                <w:sz w:val="18"/>
                <w:szCs w:val="18"/>
              </w:rPr>
              <w:t xml:space="preserve"> (BUS-1 7.8). Export the same building twice and compare property definition identifiers. </w:t>
            </w:r>
            <w:r>
              <w:rPr>
                <w:i/>
                <w:iCs/>
                <w:sz w:val="18"/>
                <w:szCs w:val="18"/>
              </w:rPr>
              <w:t xml:space="preserve">Pass:</w:t>
            </w:r>
            <w:r>
              <w:rPr>
                <w:sz w:val="18"/>
                <w:szCs w:val="18"/>
              </w:rPr>
              <w:t xml:space="preserve"> Definition identifiers are stable between exports. Regenerating identifiers each time defeats RT-21 and makes cross-package comparison impossible.</w:t>
            </w:r>
          </w:p>
        </w:tc>
      </w:tr>
    </w:tbl>
    <w:p>
      <w:pPr>
        <w:pStyle w:val="Heading2"/>
      </w:pPr>
      <w:r>
        <w:rPr>
          <w:color w:val="8C6D46"/>
        </w:rPr>
        <w:t xml:space="preserve">A.6</w:t>
      </w:r>
      <w:r>
        <w:t xml:space="preserve">  </w:t>
      </w:r>
      <w:r>
        <w:t xml:space="preserve">Reporting</w:t>
      </w:r>
    </w:p>
    <w:p>
      <w:pPr>
        <w:pStyle w:val="BodyCopy"/>
      </w:pPr>
      <w:r>
        <w:t xml:space="preserve">A conformance statement </w:t>
      </w:r>
      <w:r>
        <w:rPr>
          <w:b/>
          <w:bCs/>
          <w:color w:val="8C6D46"/>
        </w:rPr>
        <w:t xml:space="preserve">MUST</w:t>
      </w:r>
      <w:r>
        <w:t xml:space="preserve"> report every applicable test by identifier with its result and </w:t>
      </w:r>
      <w:r>
        <w:rPr>
          <w:b/>
          <w:bCs/>
          <w:color w:val="8C6D46"/>
        </w:rPr>
        <w:t xml:space="preserve">MUST NOT</w:t>
      </w:r>
      <w:r>
        <w:t xml:space="preserve"> omit failures (2.5). A statement reporting RT-12 as passed while declaring domains absent without reasons is internally inconsistent and </w:t>
      </w:r>
      <w:r>
        <w:rPr>
          <w:b/>
          <w:bCs/>
          <w:color w:val="8C6D46"/>
        </w:rPr>
        <w:t xml:space="preserve">SHOULD</w:t>
      </w:r>
      <w:r>
        <w:t xml:space="preserve"> be treated as no statement at all.</w:t>
      </w:r>
    </w:p>
    <w:p>
      <w:r>
        <w:br w:type="page"/>
      </w:r>
    </w:p>
    <w:p>
      <w:pPr>
        <w:pStyle w:val="Heading1"/>
      </w:pPr>
      <w:r>
        <w:rPr>
          <w:rFonts w:ascii="Georgia" w:cs="Georgia" w:eastAsia="Georgia" w:hAnsi="Georgia"/>
          <w:color w:val="8C6D46"/>
        </w:rPr>
        <w:t xml:space="preserve">B</w:t>
      </w:r>
      <w:r>
        <w:t xml:space="preserve">  </w:t>
      </w:r>
      <w:r>
        <w:t xml:space="preserve">Symbol role vocabulary, tier one</w:t>
      </w:r>
    </w:p>
    <w:p>
      <w:pPr>
        <w:pStyle w:val="MetaNote"/>
      </w:pPr>
      <w:r>
        <w:t xml:space="preserve">Normative. This is a first tier, deliberately small. Extension is a MINOR change and requires no importer update, because roles degrade by truncation (13.4.2).</w:t>
      </w:r>
    </w:p>
    <w:p>
      <w:pPr>
        <w:pStyle w:val="BodyCopy"/>
      </w:pPr>
      <w:r>
        <w:t xml:space="preserve">Roles are hierarchical dotted paths in lowerCamelCase segments. A receiver truncates at successive dots until it reaches a role it implements. An implementation </w:t>
      </w:r>
      <w:r>
        <w:rPr>
          <w:b/>
          <w:bCs/>
          <w:color w:val="8C6D46"/>
        </w:rPr>
        <w:t xml:space="preserve">MUST</w:t>
      </w:r>
      <w:r>
        <w:t xml:space="preserve"> support every root in this table; support for deeper leaves is </w:t>
      </w:r>
      <w:r>
        <w:rPr>
          <w:b/>
          <w:bCs/>
          <w:color w:val="8C6D46"/>
        </w:rPr>
        <w:t xml:space="preserve">RECOMMENDED</w:t>
      </w:r>
      <w:r>
        <w:t xml:space="preserve"> and never required.</w:t>
      </w:r>
    </w:p>
    <w:p>
      <w:pPr>
        <w:pStyle w:val="BodyCopy"/>
      </w:pPr>
      <w:r>
        <w:t xml:space="preserve">The tier holds fifty-two roots and seventy-five named leaves: small enough to ratify, large enough to cover the overwhelming majority of building graphics. The failure mode to avoid is a three-hundred-role taxonomy project that never ships, and the fallback rule is what makes that avoidable: an implementation that supports only the roots is conforming, and one that supports every leaf is better.</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1500"/>
        <w:gridCol w:w="2000"/>
        <w:gridCol w:w="5572"/>
      </w:tblGrid>
      <w:tr>
        <w:trPr>
          <w:cantSplit/>
          <w:tblHeader/>
        </w:trPr>
        <w:tc>
          <w:tcPr>
            <w:tcW w:type="dxa" w:w="15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Family</w:t>
            </w:r>
          </w:p>
        </w:tc>
        <w:tc>
          <w:tcPr>
            <w:tcW w:type="dxa" w:w="20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Root</w:t>
            </w:r>
          </w:p>
        </w:tc>
        <w:tc>
          <w:tcPr>
            <w:tcW w:type="dxa" w:w="55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Leaves and notes</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sz w:val="18"/>
                <w:szCs w:val="18"/>
              </w:rPr>
              <w:t xml:space="preserve">Air movement</w:t>
            </w:r>
          </w:p>
        </w:tc>
        <w:tc>
          <w:tcPr>
            <w:tcW w:type="dxa" w:w="20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fan</w:t>
            </w:r>
          </w:p>
        </w:tc>
        <w:tc>
          <w:tcPr>
            <w:tcW w:type="dxa" w:w="5572"/>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fan.centrifugal</w:t>
            </w:r>
            <w:r>
              <w:rPr>
                <w:sz w:val="18"/>
                <w:szCs w:val="18"/>
              </w:rPr>
              <w:t xml:space="preserve">, </w:t>
            </w:r>
            <w:r>
              <w:rPr>
                <w:rFonts w:ascii="Consolas" w:cs="Consolas" w:eastAsia="Consolas" w:hAnsi="Consolas"/>
                <w:color w:val="1A1D21"/>
                <w:sz w:val="15"/>
                <w:szCs w:val="15"/>
                <w:shd w:fill="F2F1ED" w:color="auto" w:val="clear"/>
              </w:rPr>
              <w:t xml:space="preserve">fan.axial</w:t>
            </w:r>
            <w:r>
              <w:rPr>
                <w:sz w:val="18"/>
                <w:szCs w:val="18"/>
              </w:rPr>
              <w:t xml:space="preserve">, </w:t>
            </w:r>
            <w:r>
              <w:rPr>
                <w:rFonts w:ascii="Consolas" w:cs="Consolas" w:eastAsia="Consolas" w:hAnsi="Consolas"/>
                <w:color w:val="1A1D21"/>
                <w:sz w:val="15"/>
                <w:szCs w:val="15"/>
                <w:shd w:fill="F2F1ED" w:color="auto" w:val="clear"/>
              </w:rPr>
              <w:t xml:space="preserve">fan.plug</w:t>
            </w:r>
            <w:r>
              <w:rPr>
                <w:sz w:val="18"/>
                <w:szCs w:val="18"/>
              </w:rPr>
              <w:t xml:space="preserve">; and by service </w:t>
            </w:r>
            <w:r>
              <w:rPr>
                <w:rFonts w:ascii="Consolas" w:cs="Consolas" w:eastAsia="Consolas" w:hAnsi="Consolas"/>
                <w:color w:val="1A1D21"/>
                <w:sz w:val="15"/>
                <w:szCs w:val="15"/>
                <w:shd w:fill="F2F1ED" w:color="auto" w:val="clear"/>
              </w:rPr>
              <w:t xml:space="preserve">fan.centrifugal.supply</w:t>
            </w:r>
            <w:r>
              <w:rPr>
                <w:sz w:val="18"/>
                <w:szCs w:val="18"/>
              </w:rPr>
              <w:t xml:space="preserve">, </w:t>
            </w:r>
            <w:r>
              <w:rPr>
                <w:rFonts w:ascii="Consolas" w:cs="Consolas" w:eastAsia="Consolas" w:hAnsi="Consolas"/>
                <w:color w:val="1A1D21"/>
                <w:sz w:val="15"/>
                <w:szCs w:val="15"/>
                <w:shd w:fill="F2F1ED" w:color="auto" w:val="clear"/>
              </w:rPr>
              <w:t xml:space="preserve">.return</w:t>
            </w:r>
            <w:r>
              <w:rPr>
                <w:sz w:val="18"/>
                <w:szCs w:val="18"/>
              </w:rPr>
              <w:t xml:space="preserve">, </w:t>
            </w:r>
            <w:r>
              <w:rPr>
                <w:rFonts w:ascii="Consolas" w:cs="Consolas" w:eastAsia="Consolas" w:hAnsi="Consolas"/>
                <w:color w:val="1A1D21"/>
                <w:sz w:val="15"/>
                <w:szCs w:val="15"/>
                <w:shd w:fill="F2F1ED" w:color="auto" w:val="clear"/>
              </w:rPr>
              <w:t xml:space="preserve">.exhaust</w:t>
            </w:r>
            <w:r>
              <w:rPr>
                <w:sz w:val="18"/>
                <w:szCs w:val="18"/>
              </w:rPr>
              <w:t xml:space="preserve">, </w:t>
            </w:r>
            <w:r>
              <w:rPr>
                <w:rFonts w:ascii="Consolas" w:cs="Consolas" w:eastAsia="Consolas" w:hAnsi="Consolas"/>
                <w:color w:val="1A1D21"/>
                <w:sz w:val="15"/>
                <w:szCs w:val="15"/>
                <w:shd w:fill="F2F1ED" w:color="auto" w:val="clear"/>
              </w:rPr>
              <w:t xml:space="preserve">.relief</w:t>
            </w:r>
          </w:p>
        </w:tc>
      </w:tr>
      <w:tr>
        <w:trPr>
          <w:cantSplit/>
        </w:trPr>
        <w:tc>
          <w:tcPr>
            <w:tcW w:type="dxa" w:w="1500"/>
            <w:shd w:fill="FAF9F6" w:color="auto" w:val="clear"/>
            <w:tcMar>
              <w:top w:type="dxa" w:w="120"/>
              <w:left w:type="dxa" w:w="160"/>
              <w:bottom w:type="dxa" w:w="120"/>
              <w:right w:type="dxa" w:w="160"/>
            </w:tcMar>
            <w:vAlign w:val="top"/>
          </w:tcPr>
          <w:p>
            <w:pPr>
              <w:spacing w:after="0" w:line="260"/>
            </w:pPr>
          </w:p>
        </w:tc>
        <w:tc>
          <w:tcPr>
            <w:tcW w:type="dxa" w:w="20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damper</w:t>
            </w:r>
          </w:p>
        </w:tc>
        <w:tc>
          <w:tcPr>
            <w:tcW w:type="dxa" w:w="5572"/>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damper.modulating</w:t>
            </w:r>
            <w:r>
              <w:rPr>
                <w:sz w:val="18"/>
                <w:szCs w:val="18"/>
              </w:rPr>
              <w:t xml:space="preserve">, </w:t>
            </w:r>
            <w:r>
              <w:rPr>
                <w:rFonts w:ascii="Consolas" w:cs="Consolas" w:eastAsia="Consolas" w:hAnsi="Consolas"/>
                <w:color w:val="1A1D21"/>
                <w:sz w:val="15"/>
                <w:szCs w:val="15"/>
                <w:shd w:fill="F2F1ED" w:color="auto" w:val="clear"/>
              </w:rPr>
              <w:t xml:space="preserve">damper.twoPosition</w:t>
            </w:r>
            <w:r>
              <w:rPr>
                <w:sz w:val="18"/>
                <w:szCs w:val="18"/>
              </w:rPr>
              <w:t xml:space="preserve">, </w:t>
            </w:r>
            <w:r>
              <w:rPr>
                <w:rFonts w:ascii="Consolas" w:cs="Consolas" w:eastAsia="Consolas" w:hAnsi="Consolas"/>
                <w:color w:val="1A1D21"/>
                <w:sz w:val="15"/>
                <w:szCs w:val="15"/>
                <w:shd w:fill="F2F1ED" w:color="auto" w:val="clear"/>
              </w:rPr>
              <w:t xml:space="preserve">damper.fireSmoke</w:t>
            </w:r>
            <w:r>
              <w:rPr>
                <w:sz w:val="18"/>
                <w:szCs w:val="18"/>
              </w:rPr>
              <w:t xml:space="preserve">; by service </w:t>
            </w:r>
            <w:r>
              <w:rPr>
                <w:rFonts w:ascii="Consolas" w:cs="Consolas" w:eastAsia="Consolas" w:hAnsi="Consolas"/>
                <w:color w:val="1A1D21"/>
                <w:sz w:val="15"/>
                <w:szCs w:val="15"/>
                <w:shd w:fill="F2F1ED" w:color="auto" w:val="clear"/>
              </w:rPr>
              <w:t xml:space="preserve">damper.modulating.outsideAir</w:t>
            </w:r>
            <w:r>
              <w:rPr>
                <w:sz w:val="18"/>
                <w:szCs w:val="18"/>
              </w:rPr>
              <w:t xml:space="preserve">, </w:t>
            </w:r>
            <w:r>
              <w:rPr>
                <w:rFonts w:ascii="Consolas" w:cs="Consolas" w:eastAsia="Consolas" w:hAnsi="Consolas"/>
                <w:color w:val="1A1D21"/>
                <w:sz w:val="15"/>
                <w:szCs w:val="15"/>
                <w:shd w:fill="F2F1ED" w:color="auto" w:val="clear"/>
              </w:rPr>
              <w:t xml:space="preserve">.mixed</w:t>
            </w:r>
            <w:r>
              <w:rPr>
                <w:sz w:val="18"/>
                <w:szCs w:val="18"/>
              </w:rPr>
              <w:t xml:space="preserve">, </w:t>
            </w:r>
            <w:r>
              <w:rPr>
                <w:rFonts w:ascii="Consolas" w:cs="Consolas" w:eastAsia="Consolas" w:hAnsi="Consolas"/>
                <w:color w:val="1A1D21"/>
                <w:sz w:val="15"/>
                <w:szCs w:val="15"/>
                <w:shd w:fill="F2F1ED" w:color="auto" w:val="clear"/>
              </w:rPr>
              <w:t xml:space="preserve">.bypass</w:t>
            </w:r>
          </w:p>
        </w:tc>
      </w:tr>
      <w:tr>
        <w:trPr>
          <w:cantSplit/>
        </w:trPr>
        <w:tc>
          <w:tcPr>
            <w:tcW w:type="dxa" w:w="1500"/>
            <w:shd w:fill="FFFFFF" w:color="auto" w:val="clear"/>
            <w:tcMar>
              <w:top w:type="dxa" w:w="120"/>
              <w:left w:type="dxa" w:w="160"/>
              <w:bottom w:type="dxa" w:w="120"/>
              <w:right w:type="dxa" w:w="160"/>
            </w:tcMar>
            <w:vAlign w:val="top"/>
          </w:tcPr>
          <w:p>
            <w:pPr>
              <w:spacing w:after="0" w:line="260"/>
            </w:pPr>
          </w:p>
        </w:tc>
        <w:tc>
          <w:tcPr>
            <w:tcW w:type="dxa" w:w="20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louver</w:t>
            </w:r>
          </w:p>
        </w:tc>
        <w:tc>
          <w:tcPr>
            <w:tcW w:type="dxa" w:w="5572"/>
            <w:shd w:fill="FFFFFF" w:color="auto" w:val="clear"/>
            <w:tcMar>
              <w:top w:type="dxa" w:w="120"/>
              <w:left w:type="dxa" w:w="160"/>
              <w:bottom w:type="dxa" w:w="120"/>
              <w:right w:type="dxa" w:w="160"/>
            </w:tcMar>
            <w:vAlign w:val="top"/>
          </w:tcPr>
          <w:p>
            <w:pPr>
              <w:spacing w:after="0" w:line="260"/>
            </w:pPr>
            <w:r>
              <w:rPr>
                <w:sz w:val="18"/>
                <w:szCs w:val="18"/>
              </w:rPr>
              <w:t xml:space="preserve">Fixed intake or discharge louver.</w:t>
            </w:r>
          </w:p>
        </w:tc>
      </w:tr>
      <w:tr>
        <w:trPr>
          <w:cantSplit/>
        </w:trPr>
        <w:tc>
          <w:tcPr>
            <w:tcW w:type="dxa" w:w="1500"/>
            <w:shd w:fill="FAF9F6" w:color="auto" w:val="clear"/>
            <w:tcMar>
              <w:top w:type="dxa" w:w="120"/>
              <w:left w:type="dxa" w:w="160"/>
              <w:bottom w:type="dxa" w:w="120"/>
              <w:right w:type="dxa" w:w="160"/>
            </w:tcMar>
            <w:vAlign w:val="top"/>
          </w:tcPr>
          <w:p>
            <w:pPr>
              <w:spacing w:after="0" w:line="260"/>
            </w:pPr>
          </w:p>
        </w:tc>
        <w:tc>
          <w:tcPr>
            <w:tcW w:type="dxa" w:w="20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duct</w:t>
            </w:r>
          </w:p>
        </w:tc>
        <w:tc>
          <w:tcPr>
            <w:tcW w:type="dxa" w:w="5572"/>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duct.segment</w:t>
            </w:r>
            <w:r>
              <w:rPr>
                <w:sz w:val="18"/>
                <w:szCs w:val="18"/>
              </w:rPr>
              <w:t xml:space="preserve">, </w:t>
            </w:r>
            <w:r>
              <w:rPr>
                <w:rFonts w:ascii="Consolas" w:cs="Consolas" w:eastAsia="Consolas" w:hAnsi="Consolas"/>
                <w:color w:val="1A1D21"/>
                <w:sz w:val="15"/>
                <w:szCs w:val="15"/>
                <w:shd w:fill="F2F1ED" w:color="auto" w:val="clear"/>
              </w:rPr>
              <w:t xml:space="preserve">duct.segment.supply</w:t>
            </w:r>
            <w:r>
              <w:rPr>
                <w:sz w:val="18"/>
                <w:szCs w:val="18"/>
              </w:rPr>
              <w:t xml:space="preserve">, </w:t>
            </w:r>
            <w:r>
              <w:rPr>
                <w:rFonts w:ascii="Consolas" w:cs="Consolas" w:eastAsia="Consolas" w:hAnsi="Consolas"/>
                <w:color w:val="1A1D21"/>
                <w:sz w:val="15"/>
                <w:szCs w:val="15"/>
                <w:shd w:fill="F2F1ED" w:color="auto" w:val="clear"/>
              </w:rPr>
              <w:t xml:space="preserve">.return</w:t>
            </w:r>
            <w:r>
              <w:rPr>
                <w:sz w:val="18"/>
                <w:szCs w:val="18"/>
              </w:rPr>
              <w:t xml:space="preserve">, </w:t>
            </w:r>
            <w:r>
              <w:rPr>
                <w:rFonts w:ascii="Consolas" w:cs="Consolas" w:eastAsia="Consolas" w:hAnsi="Consolas"/>
                <w:color w:val="1A1D21"/>
                <w:sz w:val="15"/>
                <w:szCs w:val="15"/>
                <w:shd w:fill="F2F1ED" w:color="auto" w:val="clear"/>
              </w:rPr>
              <w:t xml:space="preserve">.exhaust</w:t>
            </w:r>
            <w:r>
              <w:rPr>
                <w:sz w:val="18"/>
                <w:szCs w:val="18"/>
              </w:rPr>
              <w:t xml:space="preserve">, </w:t>
            </w:r>
            <w:r>
              <w:rPr>
                <w:rFonts w:ascii="Consolas" w:cs="Consolas" w:eastAsia="Consolas" w:hAnsi="Consolas"/>
                <w:color w:val="1A1D21"/>
                <w:sz w:val="15"/>
                <w:szCs w:val="15"/>
                <w:shd w:fill="F2F1ED" w:color="auto" w:val="clear"/>
              </w:rPr>
              <w:t xml:space="preserve">.outsideAir</w:t>
            </w:r>
          </w:p>
        </w:tc>
      </w:tr>
      <w:tr>
        <w:trPr>
          <w:cantSplit/>
        </w:trPr>
        <w:tc>
          <w:tcPr>
            <w:tcW w:type="dxa" w:w="1500"/>
            <w:shd w:fill="FFFFFF" w:color="auto" w:val="clear"/>
            <w:tcMar>
              <w:top w:type="dxa" w:w="120"/>
              <w:left w:type="dxa" w:w="160"/>
              <w:bottom w:type="dxa" w:w="120"/>
              <w:right w:type="dxa" w:w="160"/>
            </w:tcMar>
            <w:vAlign w:val="top"/>
          </w:tcPr>
          <w:p>
            <w:pPr>
              <w:spacing w:after="0" w:line="260"/>
            </w:pPr>
          </w:p>
        </w:tc>
        <w:tc>
          <w:tcPr>
            <w:tcW w:type="dxa" w:w="20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plenum</w:t>
            </w:r>
            <w:r>
              <w:rPr>
                <w:sz w:val="18"/>
                <w:szCs w:val="18"/>
              </w:rPr>
              <w:t xml:space="preserve">, </w:t>
            </w:r>
            <w:r>
              <w:rPr>
                <w:rFonts w:ascii="Consolas" w:cs="Consolas" w:eastAsia="Consolas" w:hAnsi="Consolas"/>
                <w:color w:val="1A1D21"/>
                <w:sz w:val="15"/>
                <w:szCs w:val="15"/>
                <w:shd w:fill="F2F1ED" w:color="auto" w:val="clear"/>
              </w:rPr>
              <w:t xml:space="preserve">mixingBox</w:t>
            </w:r>
          </w:p>
        </w:tc>
        <w:tc>
          <w:tcPr>
            <w:tcW w:type="dxa" w:w="5572"/>
            <w:shd w:fill="FFFFFF" w:color="auto" w:val="clear"/>
            <w:tcMar>
              <w:top w:type="dxa" w:w="120"/>
              <w:left w:type="dxa" w:w="160"/>
              <w:bottom w:type="dxa" w:w="120"/>
              <w:right w:type="dxa" w:w="160"/>
            </w:tcMar>
            <w:vAlign w:val="top"/>
          </w:tcPr>
          <w:p>
            <w:pPr>
              <w:spacing w:after="0" w:line="260"/>
            </w:pPr>
            <w:r>
              <w:rPr>
                <w:sz w:val="18"/>
                <w:szCs w:val="18"/>
              </w:rPr>
              <w:t xml:space="preserve">Air paths that are not ducts.</w:t>
            </w:r>
          </w:p>
        </w:tc>
      </w:tr>
      <w:tr>
        <w:trPr>
          <w:cantSplit/>
        </w:trPr>
        <w:tc>
          <w:tcPr>
            <w:tcW w:type="dxa" w:w="1500"/>
            <w:shd w:fill="FAF9F6" w:color="auto" w:val="clear"/>
            <w:tcMar>
              <w:top w:type="dxa" w:w="120"/>
              <w:left w:type="dxa" w:w="160"/>
              <w:bottom w:type="dxa" w:w="120"/>
              <w:right w:type="dxa" w:w="160"/>
            </w:tcMar>
            <w:vAlign w:val="top"/>
          </w:tcPr>
          <w:p>
            <w:pPr>
              <w:spacing w:after="0" w:line="260"/>
            </w:pPr>
          </w:p>
        </w:tc>
        <w:tc>
          <w:tcPr>
            <w:tcW w:type="dxa" w:w="20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diffuser</w:t>
            </w:r>
            <w:r>
              <w:rPr>
                <w:sz w:val="18"/>
                <w:szCs w:val="18"/>
              </w:rPr>
              <w:t xml:space="preserve">, </w:t>
            </w:r>
            <w:r>
              <w:rPr>
                <w:rFonts w:ascii="Consolas" w:cs="Consolas" w:eastAsia="Consolas" w:hAnsi="Consolas"/>
                <w:color w:val="1A1D21"/>
                <w:sz w:val="15"/>
                <w:szCs w:val="15"/>
                <w:shd w:fill="F2F1ED" w:color="auto" w:val="clear"/>
              </w:rPr>
              <w:t xml:space="preserve">grille</w:t>
            </w:r>
          </w:p>
        </w:tc>
        <w:tc>
          <w:tcPr>
            <w:tcW w:type="dxa" w:w="5572"/>
            <w:shd w:fill="FAF9F6" w:color="auto" w:val="clear"/>
            <w:tcMar>
              <w:top w:type="dxa" w:w="120"/>
              <w:left w:type="dxa" w:w="160"/>
              <w:bottom w:type="dxa" w:w="120"/>
              <w:right w:type="dxa" w:w="160"/>
            </w:tcMar>
            <w:vAlign w:val="top"/>
          </w:tcPr>
          <w:p>
            <w:pPr>
              <w:spacing w:after="0" w:line="260"/>
            </w:pPr>
            <w:r>
              <w:rPr>
                <w:sz w:val="18"/>
                <w:szCs w:val="18"/>
              </w:rPr>
              <w:t xml:space="preserve">Terminal air devices.</w:t>
            </w:r>
          </w:p>
        </w:tc>
      </w:tr>
      <w:tr>
        <w:trPr>
          <w:cantSplit/>
        </w:trPr>
        <w:tc>
          <w:tcPr>
            <w:tcW w:type="dxa" w:w="1500"/>
            <w:shd w:fill="FFFFFF" w:color="auto" w:val="clear"/>
            <w:tcMar>
              <w:top w:type="dxa" w:w="120"/>
              <w:left w:type="dxa" w:w="160"/>
              <w:bottom w:type="dxa" w:w="120"/>
              <w:right w:type="dxa" w:w="160"/>
            </w:tcMar>
            <w:vAlign w:val="top"/>
          </w:tcPr>
          <w:p>
            <w:pPr>
              <w:spacing w:after="0" w:line="260"/>
            </w:pPr>
          </w:p>
        </w:tc>
        <w:tc>
          <w:tcPr>
            <w:tcW w:type="dxa" w:w="20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terminal</w:t>
            </w:r>
          </w:p>
        </w:tc>
        <w:tc>
          <w:tcPr>
            <w:tcW w:type="dxa" w:w="5572"/>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terminal.vav</w:t>
            </w:r>
            <w:r>
              <w:rPr>
                <w:sz w:val="18"/>
                <w:szCs w:val="18"/>
              </w:rPr>
              <w:t xml:space="preserve">, </w:t>
            </w:r>
            <w:r>
              <w:rPr>
                <w:rFonts w:ascii="Consolas" w:cs="Consolas" w:eastAsia="Consolas" w:hAnsi="Consolas"/>
                <w:color w:val="1A1D21"/>
                <w:sz w:val="15"/>
                <w:szCs w:val="15"/>
                <w:shd w:fill="F2F1ED" w:color="auto" w:val="clear"/>
              </w:rPr>
              <w:t xml:space="preserve">terminal.vav.reheat</w:t>
            </w:r>
            <w:r>
              <w:rPr>
                <w:sz w:val="18"/>
                <w:szCs w:val="18"/>
              </w:rPr>
              <w:t xml:space="preserve">, </w:t>
            </w:r>
            <w:r>
              <w:rPr>
                <w:rFonts w:ascii="Consolas" w:cs="Consolas" w:eastAsia="Consolas" w:hAnsi="Consolas"/>
                <w:color w:val="1A1D21"/>
                <w:sz w:val="15"/>
                <w:szCs w:val="15"/>
                <w:shd w:fill="F2F1ED" w:color="auto" w:val="clear"/>
              </w:rPr>
              <w:t xml:space="preserve">terminal.cav</w:t>
            </w:r>
            <w:r>
              <w:rPr>
                <w:sz w:val="18"/>
                <w:szCs w:val="18"/>
              </w:rPr>
              <w:t xml:space="preserve">, </w:t>
            </w:r>
            <w:r>
              <w:rPr>
                <w:rFonts w:ascii="Consolas" w:cs="Consolas" w:eastAsia="Consolas" w:hAnsi="Consolas"/>
                <w:color w:val="1A1D21"/>
                <w:sz w:val="15"/>
                <w:szCs w:val="15"/>
                <w:shd w:fill="F2F1ED" w:color="auto" w:val="clear"/>
              </w:rPr>
              <w:t xml:space="preserve">terminal.fanPowered</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sz w:val="18"/>
                <w:szCs w:val="18"/>
              </w:rPr>
              <w:t xml:space="preserve">Wet side</w:t>
            </w:r>
          </w:p>
        </w:tc>
        <w:tc>
          <w:tcPr>
            <w:tcW w:type="dxa" w:w="20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pump</w:t>
            </w:r>
          </w:p>
        </w:tc>
        <w:tc>
          <w:tcPr>
            <w:tcW w:type="dxa" w:w="5572"/>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pump.centrifugal</w:t>
            </w:r>
            <w:r>
              <w:rPr>
                <w:sz w:val="18"/>
                <w:szCs w:val="18"/>
              </w:rPr>
              <w:t xml:space="preserve">, </w:t>
            </w:r>
            <w:r>
              <w:rPr>
                <w:rFonts w:ascii="Consolas" w:cs="Consolas" w:eastAsia="Consolas" w:hAnsi="Consolas"/>
                <w:color w:val="1A1D21"/>
                <w:sz w:val="15"/>
                <w:szCs w:val="15"/>
                <w:shd w:fill="F2F1ED" w:color="auto" w:val="clear"/>
              </w:rPr>
              <w:t xml:space="preserve">pump.inline</w:t>
            </w:r>
            <w:r>
              <w:rPr>
                <w:sz w:val="18"/>
                <w:szCs w:val="18"/>
              </w:rPr>
              <w:t xml:space="preserve">; by service </w:t>
            </w:r>
            <w:r>
              <w:rPr>
                <w:rFonts w:ascii="Consolas" w:cs="Consolas" w:eastAsia="Consolas" w:hAnsi="Consolas"/>
                <w:color w:val="1A1D21"/>
                <w:sz w:val="15"/>
                <w:szCs w:val="15"/>
                <w:shd w:fill="F2F1ED" w:color="auto" w:val="clear"/>
              </w:rPr>
              <w:t xml:space="preserve">pump.centrifugal.chilledWater</w:t>
            </w:r>
            <w:r>
              <w:rPr>
                <w:sz w:val="18"/>
                <w:szCs w:val="18"/>
              </w:rPr>
              <w:t xml:space="preserve">, </w:t>
            </w:r>
            <w:r>
              <w:rPr>
                <w:rFonts w:ascii="Consolas" w:cs="Consolas" w:eastAsia="Consolas" w:hAnsi="Consolas"/>
                <w:color w:val="1A1D21"/>
                <w:sz w:val="15"/>
                <w:szCs w:val="15"/>
                <w:shd w:fill="F2F1ED" w:color="auto" w:val="clear"/>
              </w:rPr>
              <w:t xml:space="preserve">.hotWater</w:t>
            </w:r>
            <w:r>
              <w:rPr>
                <w:sz w:val="18"/>
                <w:szCs w:val="18"/>
              </w:rPr>
              <w:t xml:space="preserve">, </w:t>
            </w:r>
            <w:r>
              <w:rPr>
                <w:rFonts w:ascii="Consolas" w:cs="Consolas" w:eastAsia="Consolas" w:hAnsi="Consolas"/>
                <w:color w:val="1A1D21"/>
                <w:sz w:val="15"/>
                <w:szCs w:val="15"/>
                <w:shd w:fill="F2F1ED" w:color="auto" w:val="clear"/>
              </w:rPr>
              <w:t xml:space="preserve">.condenser</w:t>
            </w:r>
          </w:p>
        </w:tc>
      </w:tr>
      <w:tr>
        <w:trPr>
          <w:cantSplit/>
        </w:trPr>
        <w:tc>
          <w:tcPr>
            <w:tcW w:type="dxa" w:w="1500"/>
            <w:shd w:fill="FFFFFF" w:color="auto" w:val="clear"/>
            <w:tcMar>
              <w:top w:type="dxa" w:w="120"/>
              <w:left w:type="dxa" w:w="160"/>
              <w:bottom w:type="dxa" w:w="120"/>
              <w:right w:type="dxa" w:w="160"/>
            </w:tcMar>
            <w:vAlign w:val="top"/>
          </w:tcPr>
          <w:p>
            <w:pPr>
              <w:spacing w:after="0" w:line="260"/>
            </w:pPr>
          </w:p>
        </w:tc>
        <w:tc>
          <w:tcPr>
            <w:tcW w:type="dxa" w:w="20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valve</w:t>
            </w:r>
          </w:p>
        </w:tc>
        <w:tc>
          <w:tcPr>
            <w:tcW w:type="dxa" w:w="5572"/>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valve.twoWay</w:t>
            </w:r>
            <w:r>
              <w:rPr>
                <w:sz w:val="18"/>
                <w:szCs w:val="18"/>
              </w:rPr>
              <w:t xml:space="preserve">, </w:t>
            </w:r>
            <w:r>
              <w:rPr>
                <w:rFonts w:ascii="Consolas" w:cs="Consolas" w:eastAsia="Consolas" w:hAnsi="Consolas"/>
                <w:color w:val="1A1D21"/>
                <w:sz w:val="15"/>
                <w:szCs w:val="15"/>
                <w:shd w:fill="F2F1ED" w:color="auto" w:val="clear"/>
              </w:rPr>
              <w:t xml:space="preserve">valve.threeWay</w:t>
            </w:r>
            <w:r>
              <w:rPr>
                <w:sz w:val="18"/>
                <w:szCs w:val="18"/>
              </w:rPr>
              <w:t xml:space="preserve">, </w:t>
            </w:r>
            <w:r>
              <w:rPr>
                <w:rFonts w:ascii="Consolas" w:cs="Consolas" w:eastAsia="Consolas" w:hAnsi="Consolas"/>
                <w:color w:val="1A1D21"/>
                <w:sz w:val="15"/>
                <w:szCs w:val="15"/>
                <w:shd w:fill="F2F1ED" w:color="auto" w:val="clear"/>
              </w:rPr>
              <w:t xml:space="preserve">valve.modulating</w:t>
            </w:r>
            <w:r>
              <w:rPr>
                <w:sz w:val="18"/>
                <w:szCs w:val="18"/>
              </w:rPr>
              <w:t xml:space="preserve">, </w:t>
            </w:r>
            <w:r>
              <w:rPr>
                <w:rFonts w:ascii="Consolas" w:cs="Consolas" w:eastAsia="Consolas" w:hAnsi="Consolas"/>
                <w:color w:val="1A1D21"/>
                <w:sz w:val="15"/>
                <w:szCs w:val="15"/>
                <w:shd w:fill="F2F1ED" w:color="auto" w:val="clear"/>
              </w:rPr>
              <w:t xml:space="preserve">valve.isolation</w:t>
            </w:r>
            <w:r>
              <w:rPr>
                <w:sz w:val="18"/>
                <w:szCs w:val="18"/>
              </w:rPr>
              <w:t xml:space="preserve">, </w:t>
            </w:r>
            <w:r>
              <w:rPr>
                <w:rFonts w:ascii="Consolas" w:cs="Consolas" w:eastAsia="Consolas" w:hAnsi="Consolas"/>
                <w:color w:val="1A1D21"/>
                <w:sz w:val="15"/>
                <w:szCs w:val="15"/>
                <w:shd w:fill="F2F1ED" w:color="auto" w:val="clear"/>
              </w:rPr>
              <w:t xml:space="preserve">valve.check</w:t>
            </w:r>
          </w:p>
        </w:tc>
      </w:tr>
      <w:tr>
        <w:trPr>
          <w:cantSplit/>
        </w:trPr>
        <w:tc>
          <w:tcPr>
            <w:tcW w:type="dxa" w:w="1500"/>
            <w:shd w:fill="FAF9F6" w:color="auto" w:val="clear"/>
            <w:tcMar>
              <w:top w:type="dxa" w:w="120"/>
              <w:left w:type="dxa" w:w="160"/>
              <w:bottom w:type="dxa" w:w="120"/>
              <w:right w:type="dxa" w:w="160"/>
            </w:tcMar>
            <w:vAlign w:val="top"/>
          </w:tcPr>
          <w:p>
            <w:pPr>
              <w:spacing w:after="0" w:line="260"/>
            </w:pPr>
          </w:p>
        </w:tc>
        <w:tc>
          <w:tcPr>
            <w:tcW w:type="dxa" w:w="20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coil</w:t>
            </w:r>
          </w:p>
        </w:tc>
        <w:tc>
          <w:tcPr>
            <w:tcW w:type="dxa" w:w="5572"/>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coil.cooling</w:t>
            </w:r>
            <w:r>
              <w:rPr>
                <w:sz w:val="18"/>
                <w:szCs w:val="18"/>
              </w:rPr>
              <w:t xml:space="preserve">, </w:t>
            </w:r>
            <w:r>
              <w:rPr>
                <w:rFonts w:ascii="Consolas" w:cs="Consolas" w:eastAsia="Consolas" w:hAnsi="Consolas"/>
                <w:color w:val="1A1D21"/>
                <w:sz w:val="15"/>
                <w:szCs w:val="15"/>
                <w:shd w:fill="F2F1ED" w:color="auto" w:val="clear"/>
              </w:rPr>
              <w:t xml:space="preserve">coil.heating</w:t>
            </w:r>
            <w:r>
              <w:rPr>
                <w:sz w:val="18"/>
                <w:szCs w:val="18"/>
              </w:rPr>
              <w:t xml:space="preserve">, </w:t>
            </w:r>
            <w:r>
              <w:rPr>
                <w:rFonts w:ascii="Consolas" w:cs="Consolas" w:eastAsia="Consolas" w:hAnsi="Consolas"/>
                <w:color w:val="1A1D21"/>
                <w:sz w:val="15"/>
                <w:szCs w:val="15"/>
                <w:shd w:fill="F2F1ED" w:color="auto" w:val="clear"/>
              </w:rPr>
              <w:t xml:space="preserve">coil.preheat</w:t>
            </w:r>
            <w:r>
              <w:rPr>
                <w:sz w:val="18"/>
                <w:szCs w:val="18"/>
              </w:rPr>
              <w:t xml:space="preserve">, </w:t>
            </w:r>
            <w:r>
              <w:rPr>
                <w:rFonts w:ascii="Consolas" w:cs="Consolas" w:eastAsia="Consolas" w:hAnsi="Consolas"/>
                <w:color w:val="1A1D21"/>
                <w:sz w:val="15"/>
                <w:szCs w:val="15"/>
                <w:shd w:fill="F2F1ED" w:color="auto" w:val="clear"/>
              </w:rPr>
              <w:t xml:space="preserve">coil.reheat</w:t>
            </w:r>
            <w:r>
              <w:rPr>
                <w:sz w:val="18"/>
                <w:szCs w:val="18"/>
              </w:rPr>
              <w:t xml:space="preserve">; by medium </w:t>
            </w:r>
            <w:r>
              <w:rPr>
                <w:rFonts w:ascii="Consolas" w:cs="Consolas" w:eastAsia="Consolas" w:hAnsi="Consolas"/>
                <w:color w:val="1A1D21"/>
                <w:sz w:val="15"/>
                <w:szCs w:val="15"/>
                <w:shd w:fill="F2F1ED" w:color="auto" w:val="clear"/>
              </w:rPr>
              <w:t xml:space="preserve">coil.cooling.chilledWater</w:t>
            </w:r>
            <w:r>
              <w:rPr>
                <w:sz w:val="18"/>
                <w:szCs w:val="18"/>
              </w:rPr>
              <w:t xml:space="preserve">, </w:t>
            </w:r>
            <w:r>
              <w:rPr>
                <w:rFonts w:ascii="Consolas" w:cs="Consolas" w:eastAsia="Consolas" w:hAnsi="Consolas"/>
                <w:color w:val="1A1D21"/>
                <w:sz w:val="15"/>
                <w:szCs w:val="15"/>
                <w:shd w:fill="F2F1ED" w:color="auto" w:val="clear"/>
              </w:rPr>
              <w:t xml:space="preserve">coil.cooling.directExpansion</w:t>
            </w:r>
          </w:p>
        </w:tc>
      </w:tr>
      <w:tr>
        <w:trPr>
          <w:cantSplit/>
        </w:trPr>
        <w:tc>
          <w:tcPr>
            <w:tcW w:type="dxa" w:w="1500"/>
            <w:shd w:fill="FFFFFF" w:color="auto" w:val="clear"/>
            <w:tcMar>
              <w:top w:type="dxa" w:w="120"/>
              <w:left w:type="dxa" w:w="160"/>
              <w:bottom w:type="dxa" w:w="120"/>
              <w:right w:type="dxa" w:w="160"/>
            </w:tcMar>
            <w:vAlign w:val="top"/>
          </w:tcPr>
          <w:p>
            <w:pPr>
              <w:spacing w:after="0" w:line="260"/>
            </w:pPr>
          </w:p>
        </w:tc>
        <w:tc>
          <w:tcPr>
            <w:tcW w:type="dxa" w:w="20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pipe</w:t>
            </w:r>
          </w:p>
        </w:tc>
        <w:tc>
          <w:tcPr>
            <w:tcW w:type="dxa" w:w="5572"/>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pipe.segment</w:t>
            </w:r>
            <w:r>
              <w:rPr>
                <w:sz w:val="18"/>
                <w:szCs w:val="18"/>
              </w:rPr>
              <w:t xml:space="preserve"> with the medium carried by the binding or the represented entity.</w:t>
            </w:r>
          </w:p>
        </w:tc>
      </w:tr>
      <w:tr>
        <w:trPr>
          <w:cantSplit/>
        </w:trPr>
        <w:tc>
          <w:tcPr>
            <w:tcW w:type="dxa" w:w="1500"/>
            <w:shd w:fill="FAF9F6" w:color="auto" w:val="clear"/>
            <w:tcMar>
              <w:top w:type="dxa" w:w="120"/>
              <w:left w:type="dxa" w:w="160"/>
              <w:bottom w:type="dxa" w:w="120"/>
              <w:right w:type="dxa" w:w="160"/>
            </w:tcMar>
            <w:vAlign w:val="top"/>
          </w:tcPr>
          <w:p>
            <w:pPr>
              <w:spacing w:after="0" w:line="260"/>
            </w:pPr>
          </w:p>
        </w:tc>
        <w:tc>
          <w:tcPr>
            <w:tcW w:type="dxa" w:w="20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heatExchanger</w:t>
            </w:r>
            <w:r>
              <w:rPr>
                <w:sz w:val="18"/>
                <w:szCs w:val="18"/>
              </w:rPr>
              <w:t xml:space="preserve">, </w:t>
            </w:r>
            <w:r>
              <w:rPr>
                <w:rFonts w:ascii="Consolas" w:cs="Consolas" w:eastAsia="Consolas" w:hAnsi="Consolas"/>
                <w:color w:val="1A1D21"/>
                <w:sz w:val="15"/>
                <w:szCs w:val="15"/>
                <w:shd w:fill="F2F1ED" w:color="auto" w:val="clear"/>
              </w:rPr>
              <w:t xml:space="preserve">tank</w:t>
            </w:r>
            <w:r>
              <w:rPr>
                <w:sz w:val="18"/>
                <w:szCs w:val="18"/>
              </w:rPr>
              <w:t xml:space="preserve">, </w:t>
            </w:r>
            <w:r>
              <w:rPr>
                <w:rFonts w:ascii="Consolas" w:cs="Consolas" w:eastAsia="Consolas" w:hAnsi="Consolas"/>
                <w:color w:val="1A1D21"/>
                <w:sz w:val="15"/>
                <w:szCs w:val="15"/>
                <w:shd w:fill="F2F1ED" w:color="auto" w:val="clear"/>
              </w:rPr>
              <w:t xml:space="preserve">humidifier</w:t>
            </w:r>
          </w:p>
        </w:tc>
        <w:tc>
          <w:tcPr>
            <w:tcW w:type="dxa" w:w="5572"/>
            <w:shd w:fill="FAF9F6" w:color="auto" w:val="clear"/>
            <w:tcMar>
              <w:top w:type="dxa" w:w="120"/>
              <w:left w:type="dxa" w:w="160"/>
              <w:bottom w:type="dxa" w:w="120"/>
              <w:right w:type="dxa" w:w="160"/>
            </w:tcMar>
            <w:vAlign w:val="top"/>
          </w:tcPr>
          <w:p>
            <w:pPr>
              <w:spacing w:after="0" w:line="260"/>
            </w:pPr>
            <w:r>
              <w:rPr>
                <w:sz w:val="18"/>
                <w:szCs w:val="18"/>
              </w:rPr>
              <w:t xml:space="preserve">Plant items that are neither a coil nor a vessel.</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sz w:val="18"/>
                <w:szCs w:val="18"/>
              </w:rPr>
              <w:t xml:space="preserve">Plant</w:t>
            </w:r>
          </w:p>
        </w:tc>
        <w:tc>
          <w:tcPr>
            <w:tcW w:type="dxa" w:w="20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chiller</w:t>
            </w:r>
          </w:p>
        </w:tc>
        <w:tc>
          <w:tcPr>
            <w:tcW w:type="dxa" w:w="5572"/>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chiller.centrifugal</w:t>
            </w:r>
            <w:r>
              <w:rPr>
                <w:sz w:val="18"/>
                <w:szCs w:val="18"/>
              </w:rPr>
              <w:t xml:space="preserve">, </w:t>
            </w:r>
            <w:r>
              <w:rPr>
                <w:rFonts w:ascii="Consolas" w:cs="Consolas" w:eastAsia="Consolas" w:hAnsi="Consolas"/>
                <w:color w:val="1A1D21"/>
                <w:sz w:val="15"/>
                <w:szCs w:val="15"/>
                <w:shd w:fill="F2F1ED" w:color="auto" w:val="clear"/>
              </w:rPr>
              <w:t xml:space="preserve">chiller.screw</w:t>
            </w:r>
            <w:r>
              <w:rPr>
                <w:sz w:val="18"/>
                <w:szCs w:val="18"/>
              </w:rPr>
              <w:t xml:space="preserve">, </w:t>
            </w:r>
            <w:r>
              <w:rPr>
                <w:rFonts w:ascii="Consolas" w:cs="Consolas" w:eastAsia="Consolas" w:hAnsi="Consolas"/>
                <w:color w:val="1A1D21"/>
                <w:sz w:val="15"/>
                <w:szCs w:val="15"/>
                <w:shd w:fill="F2F1ED" w:color="auto" w:val="clear"/>
              </w:rPr>
              <w:t xml:space="preserve">chiller.absorption</w:t>
            </w:r>
            <w:r>
              <w:rPr>
                <w:sz w:val="18"/>
                <w:szCs w:val="18"/>
              </w:rPr>
              <w:t xml:space="preserve">, </w:t>
            </w:r>
            <w:r>
              <w:rPr>
                <w:rFonts w:ascii="Consolas" w:cs="Consolas" w:eastAsia="Consolas" w:hAnsi="Consolas"/>
                <w:color w:val="1A1D21"/>
                <w:sz w:val="15"/>
                <w:szCs w:val="15"/>
                <w:shd w:fill="F2F1ED" w:color="auto" w:val="clear"/>
              </w:rPr>
              <w:t xml:space="preserve">chiller.airCooled</w:t>
            </w:r>
          </w:p>
        </w:tc>
      </w:tr>
      <w:tr>
        <w:trPr>
          <w:cantSplit/>
        </w:trPr>
        <w:tc>
          <w:tcPr>
            <w:tcW w:type="dxa" w:w="1500"/>
            <w:shd w:fill="FAF9F6" w:color="auto" w:val="clear"/>
            <w:tcMar>
              <w:top w:type="dxa" w:w="120"/>
              <w:left w:type="dxa" w:w="160"/>
              <w:bottom w:type="dxa" w:w="120"/>
              <w:right w:type="dxa" w:w="160"/>
            </w:tcMar>
            <w:vAlign w:val="top"/>
          </w:tcPr>
          <w:p>
            <w:pPr>
              <w:spacing w:after="0" w:line="260"/>
            </w:pPr>
          </w:p>
        </w:tc>
        <w:tc>
          <w:tcPr>
            <w:tcW w:type="dxa" w:w="20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boiler</w:t>
            </w:r>
          </w:p>
        </w:tc>
        <w:tc>
          <w:tcPr>
            <w:tcW w:type="dxa" w:w="5572"/>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boiler.condensing</w:t>
            </w:r>
            <w:r>
              <w:rPr>
                <w:sz w:val="18"/>
                <w:szCs w:val="18"/>
              </w:rPr>
              <w:t xml:space="preserve">, </w:t>
            </w:r>
            <w:r>
              <w:rPr>
                <w:rFonts w:ascii="Consolas" w:cs="Consolas" w:eastAsia="Consolas" w:hAnsi="Consolas"/>
                <w:color w:val="1A1D21"/>
                <w:sz w:val="15"/>
                <w:szCs w:val="15"/>
                <w:shd w:fill="F2F1ED" w:color="auto" w:val="clear"/>
              </w:rPr>
              <w:t xml:space="preserve">boiler.steam</w:t>
            </w:r>
            <w:r>
              <w:rPr>
                <w:sz w:val="18"/>
                <w:szCs w:val="18"/>
              </w:rPr>
              <w:t xml:space="preserve">, </w:t>
            </w:r>
            <w:r>
              <w:rPr>
                <w:rFonts w:ascii="Consolas" w:cs="Consolas" w:eastAsia="Consolas" w:hAnsi="Consolas"/>
                <w:color w:val="1A1D21"/>
                <w:sz w:val="15"/>
                <w:szCs w:val="15"/>
                <w:shd w:fill="F2F1ED" w:color="auto" w:val="clear"/>
              </w:rPr>
              <w:t xml:space="preserve">boiler.electric</w:t>
            </w:r>
          </w:p>
        </w:tc>
      </w:tr>
      <w:tr>
        <w:trPr>
          <w:cantSplit/>
        </w:trPr>
        <w:tc>
          <w:tcPr>
            <w:tcW w:type="dxa" w:w="1500"/>
            <w:shd w:fill="FFFFFF" w:color="auto" w:val="clear"/>
            <w:tcMar>
              <w:top w:type="dxa" w:w="120"/>
              <w:left w:type="dxa" w:w="160"/>
              <w:bottom w:type="dxa" w:w="120"/>
              <w:right w:type="dxa" w:w="160"/>
            </w:tcMar>
            <w:vAlign w:val="top"/>
          </w:tcPr>
          <w:p>
            <w:pPr>
              <w:spacing w:after="0" w:line="260"/>
            </w:pPr>
          </w:p>
        </w:tc>
        <w:tc>
          <w:tcPr>
            <w:tcW w:type="dxa" w:w="20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coolingTower</w:t>
            </w:r>
          </w:p>
        </w:tc>
        <w:tc>
          <w:tcPr>
            <w:tcW w:type="dxa" w:w="5572"/>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coolingTower.openCircuit</w:t>
            </w:r>
            <w:r>
              <w:rPr>
                <w:sz w:val="18"/>
                <w:szCs w:val="18"/>
              </w:rPr>
              <w:t xml:space="preserve">, </w:t>
            </w:r>
            <w:r>
              <w:rPr>
                <w:rFonts w:ascii="Consolas" w:cs="Consolas" w:eastAsia="Consolas" w:hAnsi="Consolas"/>
                <w:color w:val="1A1D21"/>
                <w:sz w:val="15"/>
                <w:szCs w:val="15"/>
                <w:shd w:fill="F2F1ED" w:color="auto" w:val="clear"/>
              </w:rPr>
              <w:t xml:space="preserve">coolingTower.closedCircuit</w:t>
            </w:r>
          </w:p>
        </w:tc>
      </w:tr>
      <w:tr>
        <w:trPr>
          <w:cantSplit/>
        </w:trPr>
        <w:tc>
          <w:tcPr>
            <w:tcW w:type="dxa" w:w="1500"/>
            <w:shd w:fill="FAF9F6" w:color="auto" w:val="clear"/>
            <w:tcMar>
              <w:top w:type="dxa" w:w="120"/>
              <w:left w:type="dxa" w:w="160"/>
              <w:bottom w:type="dxa" w:w="120"/>
              <w:right w:type="dxa" w:w="160"/>
            </w:tcMar>
            <w:vAlign w:val="top"/>
          </w:tcPr>
          <w:p>
            <w:pPr>
              <w:spacing w:after="0" w:line="260"/>
            </w:pPr>
          </w:p>
        </w:tc>
        <w:tc>
          <w:tcPr>
            <w:tcW w:type="dxa" w:w="20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compressor</w:t>
            </w:r>
            <w:r>
              <w:rPr>
                <w:sz w:val="18"/>
                <w:szCs w:val="18"/>
              </w:rPr>
              <w:t xml:space="preserve">, </w:t>
            </w:r>
            <w:r>
              <w:rPr>
                <w:rFonts w:ascii="Consolas" w:cs="Consolas" w:eastAsia="Consolas" w:hAnsi="Consolas"/>
                <w:color w:val="1A1D21"/>
                <w:sz w:val="15"/>
                <w:szCs w:val="15"/>
                <w:shd w:fill="F2F1ED" w:color="auto" w:val="clear"/>
              </w:rPr>
              <w:t xml:space="preserve">filter</w:t>
            </w:r>
          </w:p>
        </w:tc>
        <w:tc>
          <w:tcPr>
            <w:tcW w:type="dxa" w:w="5572"/>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filter.panel</w:t>
            </w:r>
            <w:r>
              <w:rPr>
                <w:sz w:val="18"/>
                <w:szCs w:val="18"/>
              </w:rPr>
              <w:t xml:space="preserve">, </w:t>
            </w:r>
            <w:r>
              <w:rPr>
                <w:rFonts w:ascii="Consolas" w:cs="Consolas" w:eastAsia="Consolas" w:hAnsi="Consolas"/>
                <w:color w:val="1A1D21"/>
                <w:sz w:val="15"/>
                <w:szCs w:val="15"/>
                <w:shd w:fill="F2F1ED" w:color="auto" w:val="clear"/>
              </w:rPr>
              <w:t xml:space="preserve">filter.bag</w:t>
            </w:r>
            <w:r>
              <w:rPr>
                <w:sz w:val="18"/>
                <w:szCs w:val="18"/>
              </w:rPr>
              <w:t xml:space="preserve">, </w:t>
            </w:r>
            <w:r>
              <w:rPr>
                <w:rFonts w:ascii="Consolas" w:cs="Consolas" w:eastAsia="Consolas" w:hAnsi="Consolas"/>
                <w:color w:val="1A1D21"/>
                <w:sz w:val="15"/>
                <w:szCs w:val="15"/>
                <w:shd w:fill="F2F1ED" w:color="auto" w:val="clear"/>
              </w:rPr>
              <w:t xml:space="preserve">filter.hepa</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sz w:val="18"/>
                <w:szCs w:val="18"/>
              </w:rPr>
              <w:t xml:space="preserve">Electrical</w:t>
            </w:r>
          </w:p>
        </w:tc>
        <w:tc>
          <w:tcPr>
            <w:tcW w:type="dxa" w:w="20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breaker</w:t>
            </w:r>
            <w:r>
              <w:rPr>
                <w:sz w:val="18"/>
                <w:szCs w:val="18"/>
              </w:rPr>
              <w:t xml:space="preserve">, </w:t>
            </w:r>
            <w:r>
              <w:rPr>
                <w:rFonts w:ascii="Consolas" w:cs="Consolas" w:eastAsia="Consolas" w:hAnsi="Consolas"/>
                <w:color w:val="1A1D21"/>
                <w:sz w:val="15"/>
                <w:szCs w:val="15"/>
                <w:shd w:fill="F2F1ED" w:color="auto" w:val="clear"/>
              </w:rPr>
              <w:t xml:space="preserve">switch</w:t>
            </w:r>
            <w:r>
              <w:rPr>
                <w:sz w:val="18"/>
                <w:szCs w:val="18"/>
              </w:rPr>
              <w:t xml:space="preserve">, </w:t>
            </w:r>
            <w:r>
              <w:rPr>
                <w:rFonts w:ascii="Consolas" w:cs="Consolas" w:eastAsia="Consolas" w:hAnsi="Consolas"/>
                <w:color w:val="1A1D21"/>
                <w:sz w:val="15"/>
                <w:szCs w:val="15"/>
                <w:shd w:fill="F2F1ED" w:color="auto" w:val="clear"/>
              </w:rPr>
              <w:t xml:space="preserve">transformer</w:t>
            </w:r>
            <w:r>
              <w:rPr>
                <w:sz w:val="18"/>
                <w:szCs w:val="18"/>
              </w:rPr>
              <w:t xml:space="preserve">, </w:t>
            </w:r>
            <w:r>
              <w:rPr>
                <w:rFonts w:ascii="Consolas" w:cs="Consolas" w:eastAsia="Consolas" w:hAnsi="Consolas"/>
                <w:color w:val="1A1D21"/>
                <w:sz w:val="15"/>
                <w:szCs w:val="15"/>
                <w:shd w:fill="F2F1ED" w:color="auto" w:val="clear"/>
              </w:rPr>
              <w:t xml:space="preserve">panel</w:t>
            </w:r>
            <w:r>
              <w:rPr>
                <w:sz w:val="18"/>
                <w:szCs w:val="18"/>
              </w:rPr>
              <w:t xml:space="preserve">, </w:t>
            </w:r>
            <w:r>
              <w:rPr>
                <w:rFonts w:ascii="Consolas" w:cs="Consolas" w:eastAsia="Consolas" w:hAnsi="Consolas"/>
                <w:color w:val="1A1D21"/>
                <w:sz w:val="15"/>
                <w:szCs w:val="15"/>
                <w:shd w:fill="F2F1ED" w:color="auto" w:val="clear"/>
              </w:rPr>
              <w:t xml:space="preserve">busway</w:t>
            </w:r>
            <w:r>
              <w:rPr>
                <w:sz w:val="18"/>
                <w:szCs w:val="18"/>
              </w:rPr>
              <w:t xml:space="preserve">, </w:t>
            </w:r>
            <w:r>
              <w:rPr>
                <w:rFonts w:ascii="Consolas" w:cs="Consolas" w:eastAsia="Consolas" w:hAnsi="Consolas"/>
                <w:color w:val="1A1D21"/>
                <w:sz w:val="15"/>
                <w:szCs w:val="15"/>
                <w:shd w:fill="F2F1ED" w:color="auto" w:val="clear"/>
              </w:rPr>
              <w:t xml:space="preserve">generator</w:t>
            </w:r>
            <w:r>
              <w:rPr>
                <w:sz w:val="18"/>
                <w:szCs w:val="18"/>
              </w:rPr>
              <w:t xml:space="preserve">, </w:t>
            </w:r>
            <w:r>
              <w:rPr>
                <w:rFonts w:ascii="Consolas" w:cs="Consolas" w:eastAsia="Consolas" w:hAnsi="Consolas"/>
                <w:color w:val="1A1D21"/>
                <w:sz w:val="15"/>
                <w:szCs w:val="15"/>
                <w:shd w:fill="F2F1ED" w:color="auto" w:val="clear"/>
              </w:rPr>
              <w:t xml:space="preserve">ups</w:t>
            </w:r>
            <w:r>
              <w:rPr>
                <w:sz w:val="18"/>
                <w:szCs w:val="18"/>
              </w:rPr>
              <w:t xml:space="preserve">, </w:t>
            </w:r>
            <w:r>
              <w:rPr>
                <w:rFonts w:ascii="Consolas" w:cs="Consolas" w:eastAsia="Consolas" w:hAnsi="Consolas"/>
                <w:color w:val="1A1D21"/>
                <w:sz w:val="15"/>
                <w:szCs w:val="15"/>
                <w:shd w:fill="F2F1ED" w:color="auto" w:val="clear"/>
              </w:rPr>
              <w:t xml:space="preserve">meter.electrical</w:t>
            </w:r>
          </w:p>
        </w:tc>
        <w:tc>
          <w:tcPr>
            <w:tcW w:type="dxa" w:w="5572"/>
            <w:shd w:fill="FFFFFF" w:color="auto" w:val="clear"/>
            <w:tcMar>
              <w:top w:type="dxa" w:w="120"/>
              <w:left w:type="dxa" w:w="160"/>
              <w:bottom w:type="dxa" w:w="120"/>
              <w:right w:type="dxa" w:w="160"/>
            </w:tcMar>
            <w:vAlign w:val="top"/>
          </w:tcPr>
          <w:p>
            <w:pPr>
              <w:spacing w:after="0" w:line="260"/>
            </w:pPr>
            <w:r>
              <w:rPr>
                <w:sz w:val="18"/>
                <w:szCs w:val="18"/>
              </w:rPr>
              <w:t xml:space="preserve">One-line and riser primitives.</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sz w:val="18"/>
                <w:szCs w:val="18"/>
              </w:rPr>
              <w:t xml:space="preserve">Controls</w:t>
            </w:r>
          </w:p>
        </w:tc>
        <w:tc>
          <w:tcPr>
            <w:tcW w:type="dxa" w:w="20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controller</w:t>
            </w:r>
            <w:r>
              <w:rPr>
                <w:sz w:val="18"/>
                <w:szCs w:val="18"/>
              </w:rPr>
              <w:t xml:space="preserve">, </w:t>
            </w:r>
            <w:r>
              <w:rPr>
                <w:rFonts w:ascii="Consolas" w:cs="Consolas" w:eastAsia="Consolas" w:hAnsi="Consolas"/>
                <w:color w:val="1A1D21"/>
                <w:sz w:val="15"/>
                <w:szCs w:val="15"/>
                <w:shd w:fill="F2F1ED" w:color="auto" w:val="clear"/>
              </w:rPr>
              <w:t xml:space="preserve">actuator</w:t>
            </w:r>
            <w:r>
              <w:rPr>
                <w:sz w:val="18"/>
                <w:szCs w:val="18"/>
              </w:rPr>
              <w:t xml:space="preserve">, </w:t>
            </w:r>
            <w:r>
              <w:rPr>
                <w:rFonts w:ascii="Consolas" w:cs="Consolas" w:eastAsia="Consolas" w:hAnsi="Consolas"/>
                <w:color w:val="1A1D21"/>
                <w:sz w:val="15"/>
                <w:szCs w:val="15"/>
                <w:shd w:fill="F2F1ED" w:color="auto" w:val="clear"/>
              </w:rPr>
              <w:t xml:space="preserve">vfd</w:t>
            </w:r>
            <w:r>
              <w:rPr>
                <w:sz w:val="18"/>
                <w:szCs w:val="18"/>
              </w:rPr>
              <w:t xml:space="preserve">, </w:t>
            </w:r>
            <w:r>
              <w:rPr>
                <w:rFonts w:ascii="Consolas" w:cs="Consolas" w:eastAsia="Consolas" w:hAnsi="Consolas"/>
                <w:color w:val="1A1D21"/>
                <w:sz w:val="15"/>
                <w:szCs w:val="15"/>
                <w:shd w:fill="F2F1ED" w:color="auto" w:val="clear"/>
              </w:rPr>
              <w:t xml:space="preserve">relay</w:t>
            </w:r>
            <w:r>
              <w:rPr>
                <w:sz w:val="18"/>
                <w:szCs w:val="18"/>
              </w:rPr>
              <w:t xml:space="preserve">, </w:t>
            </w:r>
            <w:r>
              <w:rPr>
                <w:rFonts w:ascii="Consolas" w:cs="Consolas" w:eastAsia="Consolas" w:hAnsi="Consolas"/>
                <w:color w:val="1A1D21"/>
                <w:sz w:val="15"/>
                <w:szCs w:val="15"/>
                <w:shd w:fill="F2F1ED" w:color="auto" w:val="clear"/>
              </w:rPr>
              <w:t xml:space="preserve">thermostat</w:t>
            </w:r>
          </w:p>
        </w:tc>
        <w:tc>
          <w:tcPr>
            <w:tcW w:type="dxa" w:w="5572"/>
            <w:shd w:fill="FAF9F6" w:color="auto" w:val="clear"/>
            <w:tcMar>
              <w:top w:type="dxa" w:w="120"/>
              <w:left w:type="dxa" w:w="160"/>
              <w:bottom w:type="dxa" w:w="120"/>
              <w:right w:type="dxa" w:w="160"/>
            </w:tcMar>
            <w:vAlign w:val="top"/>
          </w:tcPr>
          <w:p>
            <w:pPr>
              <w:spacing w:after="0" w:line="260"/>
            </w:pPr>
            <w:r>
              <w:rPr>
                <w:sz w:val="18"/>
                <w:szCs w:val="18"/>
              </w:rPr>
              <w:t xml:space="preserve">Control devices shown on a graphic.</w:t>
            </w:r>
          </w:p>
        </w:tc>
      </w:tr>
      <w:tr>
        <w:trPr>
          <w:cantSplit/>
        </w:trPr>
        <w:tc>
          <w:tcPr>
            <w:tcW w:type="dxa" w:w="1500"/>
            <w:shd w:fill="FFFFFF" w:color="auto" w:val="clear"/>
            <w:tcMar>
              <w:top w:type="dxa" w:w="120"/>
              <w:left w:type="dxa" w:w="160"/>
              <w:bottom w:type="dxa" w:w="120"/>
              <w:right w:type="dxa" w:w="160"/>
            </w:tcMar>
            <w:vAlign w:val="top"/>
          </w:tcPr>
          <w:p>
            <w:pPr>
              <w:spacing w:after="0" w:line="260"/>
            </w:pPr>
          </w:p>
        </w:tc>
        <w:tc>
          <w:tcPr>
            <w:tcW w:type="dxa" w:w="20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sensor</w:t>
            </w:r>
          </w:p>
        </w:tc>
        <w:tc>
          <w:tcPr>
            <w:tcW w:type="dxa" w:w="5572"/>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sensor.temperature</w:t>
            </w:r>
            <w:r>
              <w:rPr>
                <w:sz w:val="18"/>
                <w:szCs w:val="18"/>
              </w:rPr>
              <w:t xml:space="preserve">, </w:t>
            </w:r>
            <w:r>
              <w:rPr>
                <w:rFonts w:ascii="Consolas" w:cs="Consolas" w:eastAsia="Consolas" w:hAnsi="Consolas"/>
                <w:color w:val="1A1D21"/>
                <w:sz w:val="15"/>
                <w:szCs w:val="15"/>
                <w:shd w:fill="F2F1ED" w:color="auto" w:val="clear"/>
              </w:rPr>
              <w:t xml:space="preserve">sensor.pressure</w:t>
            </w:r>
            <w:r>
              <w:rPr>
                <w:sz w:val="18"/>
                <w:szCs w:val="18"/>
              </w:rPr>
              <w:t xml:space="preserve">, </w:t>
            </w:r>
            <w:r>
              <w:rPr>
                <w:rFonts w:ascii="Consolas" w:cs="Consolas" w:eastAsia="Consolas" w:hAnsi="Consolas"/>
                <w:color w:val="1A1D21"/>
                <w:sz w:val="15"/>
                <w:szCs w:val="15"/>
                <w:shd w:fill="F2F1ED" w:color="auto" w:val="clear"/>
              </w:rPr>
              <w:t xml:space="preserve">sensor.flow</w:t>
            </w:r>
            <w:r>
              <w:rPr>
                <w:sz w:val="18"/>
                <w:szCs w:val="18"/>
              </w:rPr>
              <w:t xml:space="preserve">, </w:t>
            </w:r>
            <w:r>
              <w:rPr>
                <w:rFonts w:ascii="Consolas" w:cs="Consolas" w:eastAsia="Consolas" w:hAnsi="Consolas"/>
                <w:color w:val="1A1D21"/>
                <w:sz w:val="15"/>
                <w:szCs w:val="15"/>
                <w:shd w:fill="F2F1ED" w:color="auto" w:val="clear"/>
              </w:rPr>
              <w:t xml:space="preserve">sensor.humidity</w:t>
            </w:r>
            <w:r>
              <w:rPr>
                <w:sz w:val="18"/>
                <w:szCs w:val="18"/>
              </w:rPr>
              <w:t xml:space="preserve">, </w:t>
            </w:r>
            <w:r>
              <w:rPr>
                <w:rFonts w:ascii="Consolas" w:cs="Consolas" w:eastAsia="Consolas" w:hAnsi="Consolas"/>
                <w:color w:val="1A1D21"/>
                <w:sz w:val="15"/>
                <w:szCs w:val="15"/>
                <w:shd w:fill="F2F1ED" w:color="auto" w:val="clear"/>
              </w:rPr>
              <w:t xml:space="preserve">sensor.co2</w:t>
            </w:r>
            <w:r>
              <w:rPr>
                <w:sz w:val="18"/>
                <w:szCs w:val="18"/>
              </w:rPr>
              <w:t xml:space="preserve">, </w:t>
            </w:r>
            <w:r>
              <w:rPr>
                <w:rFonts w:ascii="Consolas" w:cs="Consolas" w:eastAsia="Consolas" w:hAnsi="Consolas"/>
                <w:color w:val="1A1D21"/>
                <w:sz w:val="15"/>
                <w:szCs w:val="15"/>
                <w:shd w:fill="F2F1ED" w:color="auto" w:val="clear"/>
              </w:rPr>
              <w:t xml:space="preserve">sensor.occupancy</w:t>
            </w:r>
            <w:r>
              <w:rPr>
                <w:sz w:val="18"/>
                <w:szCs w:val="18"/>
              </w:rPr>
              <w:t xml:space="preserve">, </w:t>
            </w:r>
            <w:r>
              <w:rPr>
                <w:rFonts w:ascii="Consolas" w:cs="Consolas" w:eastAsia="Consolas" w:hAnsi="Consolas"/>
                <w:color w:val="1A1D21"/>
                <w:sz w:val="15"/>
                <w:szCs w:val="15"/>
                <w:shd w:fill="F2F1ED" w:color="auto" w:val="clear"/>
              </w:rPr>
              <w:t xml:space="preserve">sensor.current</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sz w:val="18"/>
                <w:szCs w:val="18"/>
              </w:rPr>
              <w:t xml:space="preserve">Interface</w:t>
            </w:r>
          </w:p>
        </w:tc>
        <w:tc>
          <w:tcPr>
            <w:tcW w:type="dxa" w:w="20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readout.value</w:t>
            </w:r>
            <w:r>
              <w:rPr>
                <w:sz w:val="18"/>
                <w:szCs w:val="18"/>
              </w:rPr>
              <w:t xml:space="preserve">, </w:t>
            </w:r>
            <w:r>
              <w:rPr>
                <w:rFonts w:ascii="Consolas" w:cs="Consolas" w:eastAsia="Consolas" w:hAnsi="Consolas"/>
                <w:color w:val="1A1D21"/>
                <w:sz w:val="15"/>
                <w:szCs w:val="15"/>
                <w:shd w:fill="F2F1ED" w:color="auto" w:val="clear"/>
              </w:rPr>
              <w:t xml:space="preserve">readout.text</w:t>
            </w:r>
          </w:p>
        </w:tc>
        <w:tc>
          <w:tcPr>
            <w:tcW w:type="dxa" w:w="5572"/>
            <w:shd w:fill="FAF9F6" w:color="auto" w:val="clear"/>
            <w:tcMar>
              <w:top w:type="dxa" w:w="120"/>
              <w:left w:type="dxa" w:w="160"/>
              <w:bottom w:type="dxa" w:w="120"/>
              <w:right w:type="dxa" w:w="160"/>
            </w:tcMar>
            <w:vAlign w:val="top"/>
          </w:tcPr>
          <w:p>
            <w:pPr>
              <w:spacing w:after="0" w:line="260"/>
            </w:pPr>
            <w:r>
              <w:rPr>
                <w:sz w:val="18"/>
                <w:szCs w:val="18"/>
              </w:rPr>
              <w:t xml:space="preserve">Displayed values distinct from the thing that produces them.</w:t>
            </w:r>
          </w:p>
        </w:tc>
      </w:tr>
      <w:tr>
        <w:trPr>
          <w:cantSplit/>
        </w:trPr>
        <w:tc>
          <w:tcPr>
            <w:tcW w:type="dxa" w:w="1500"/>
            <w:shd w:fill="FFFFFF" w:color="auto" w:val="clear"/>
            <w:tcMar>
              <w:top w:type="dxa" w:w="120"/>
              <w:left w:type="dxa" w:w="160"/>
              <w:bottom w:type="dxa" w:w="120"/>
              <w:right w:type="dxa" w:w="160"/>
            </w:tcMar>
            <w:vAlign w:val="top"/>
          </w:tcPr>
          <w:p>
            <w:pPr>
              <w:spacing w:after="0" w:line="260"/>
            </w:pPr>
          </w:p>
        </w:tc>
        <w:tc>
          <w:tcPr>
            <w:tcW w:type="dxa" w:w="20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indicator.status</w:t>
            </w:r>
            <w:r>
              <w:rPr>
                <w:sz w:val="18"/>
                <w:szCs w:val="18"/>
              </w:rPr>
              <w:t xml:space="preserve">, </w:t>
            </w:r>
            <w:r>
              <w:rPr>
                <w:rFonts w:ascii="Consolas" w:cs="Consolas" w:eastAsia="Consolas" w:hAnsi="Consolas"/>
                <w:color w:val="1A1D21"/>
                <w:sz w:val="15"/>
                <w:szCs w:val="15"/>
                <w:shd w:fill="F2F1ED" w:color="auto" w:val="clear"/>
              </w:rPr>
              <w:t xml:space="preserve">indicator.alarm</w:t>
            </w:r>
          </w:p>
        </w:tc>
        <w:tc>
          <w:tcPr>
            <w:tcW w:type="dxa" w:w="5572"/>
            <w:shd w:fill="FFFFFF" w:color="auto" w:val="clear"/>
            <w:tcMar>
              <w:top w:type="dxa" w:w="120"/>
              <w:left w:type="dxa" w:w="160"/>
              <w:bottom w:type="dxa" w:w="120"/>
              <w:right w:type="dxa" w:w="160"/>
            </w:tcMar>
            <w:vAlign w:val="top"/>
          </w:tcPr>
          <w:p>
            <w:pPr>
              <w:spacing w:after="0" w:line="260"/>
            </w:pPr>
            <w:r>
              <w:rPr>
                <w:sz w:val="18"/>
                <w:szCs w:val="18"/>
              </w:rPr>
              <w:t xml:space="preserve">State annunciation.</w:t>
            </w:r>
          </w:p>
        </w:tc>
      </w:tr>
      <w:tr>
        <w:trPr>
          <w:cantSplit/>
        </w:trPr>
        <w:tc>
          <w:tcPr>
            <w:tcW w:type="dxa" w:w="1500"/>
            <w:shd w:fill="FAF9F6" w:color="auto" w:val="clear"/>
            <w:tcMar>
              <w:top w:type="dxa" w:w="120"/>
              <w:left w:type="dxa" w:w="160"/>
              <w:bottom w:type="dxa" w:w="120"/>
              <w:right w:type="dxa" w:w="160"/>
            </w:tcMar>
            <w:vAlign w:val="top"/>
          </w:tcPr>
          <w:p>
            <w:pPr>
              <w:spacing w:after="0" w:line="260"/>
            </w:pPr>
          </w:p>
        </w:tc>
        <w:tc>
          <w:tcPr>
            <w:tcW w:type="dxa" w:w="20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gauge</w:t>
            </w:r>
            <w:r>
              <w:rPr>
                <w:sz w:val="18"/>
                <w:szCs w:val="18"/>
              </w:rPr>
              <w:t xml:space="preserve">, </w:t>
            </w:r>
            <w:r>
              <w:rPr>
                <w:rFonts w:ascii="Consolas" w:cs="Consolas" w:eastAsia="Consolas" w:hAnsi="Consolas"/>
                <w:color w:val="1A1D21"/>
                <w:sz w:val="15"/>
                <w:szCs w:val="15"/>
                <w:shd w:fill="F2F1ED" w:color="auto" w:val="clear"/>
              </w:rPr>
              <w:t xml:space="preserve">trend</w:t>
            </w:r>
            <w:r>
              <w:rPr>
                <w:sz w:val="18"/>
                <w:szCs w:val="18"/>
              </w:rPr>
              <w:t xml:space="preserve">, </w:t>
            </w:r>
            <w:r>
              <w:rPr>
                <w:rFonts w:ascii="Consolas" w:cs="Consolas" w:eastAsia="Consolas" w:hAnsi="Consolas"/>
                <w:color w:val="1A1D21"/>
                <w:sz w:val="15"/>
                <w:szCs w:val="15"/>
                <w:shd w:fill="F2F1ED" w:color="auto" w:val="clear"/>
              </w:rPr>
              <w:t xml:space="preserve">bar</w:t>
            </w:r>
          </w:p>
        </w:tc>
        <w:tc>
          <w:tcPr>
            <w:tcW w:type="dxa" w:w="5572"/>
            <w:shd w:fill="FAF9F6" w:color="auto" w:val="clear"/>
            <w:tcMar>
              <w:top w:type="dxa" w:w="120"/>
              <w:left w:type="dxa" w:w="160"/>
              <w:bottom w:type="dxa" w:w="120"/>
              <w:right w:type="dxa" w:w="160"/>
            </w:tcMar>
            <w:vAlign w:val="top"/>
          </w:tcPr>
          <w:p>
            <w:pPr>
              <w:spacing w:after="0" w:line="260"/>
            </w:pPr>
            <w:r>
              <w:rPr>
                <w:sz w:val="18"/>
                <w:szCs w:val="18"/>
              </w:rPr>
              <w:t xml:space="preserve">Value presentation forms.</w:t>
            </w:r>
          </w:p>
        </w:tc>
      </w:tr>
      <w:tr>
        <w:trPr>
          <w:cantSplit/>
        </w:trPr>
        <w:tc>
          <w:tcPr>
            <w:tcW w:type="dxa" w:w="1500"/>
            <w:shd w:fill="FFFFFF" w:color="auto" w:val="clear"/>
            <w:tcMar>
              <w:top w:type="dxa" w:w="120"/>
              <w:left w:type="dxa" w:w="160"/>
              <w:bottom w:type="dxa" w:w="120"/>
              <w:right w:type="dxa" w:w="160"/>
            </w:tcMar>
            <w:vAlign w:val="top"/>
          </w:tcPr>
          <w:p>
            <w:pPr>
              <w:spacing w:after="0" w:line="260"/>
            </w:pPr>
          </w:p>
        </w:tc>
        <w:tc>
          <w:tcPr>
            <w:tcW w:type="dxa" w:w="20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control.input.numeric</w:t>
            </w:r>
            <w:r>
              <w:rPr>
                <w:sz w:val="18"/>
                <w:szCs w:val="18"/>
              </w:rPr>
              <w:t xml:space="preserve">, </w:t>
            </w:r>
            <w:r>
              <w:rPr>
                <w:rFonts w:ascii="Consolas" w:cs="Consolas" w:eastAsia="Consolas" w:hAnsi="Consolas"/>
                <w:color w:val="1A1D21"/>
                <w:sz w:val="15"/>
                <w:szCs w:val="15"/>
                <w:shd w:fill="F2F1ED" w:color="auto" w:val="clear"/>
              </w:rPr>
              <w:t xml:space="preserve">control.input.enum</w:t>
            </w:r>
            <w:r>
              <w:rPr>
                <w:sz w:val="18"/>
                <w:szCs w:val="18"/>
              </w:rPr>
              <w:t xml:space="preserve">, </w:t>
            </w:r>
            <w:r>
              <w:rPr>
                <w:rFonts w:ascii="Consolas" w:cs="Consolas" w:eastAsia="Consolas" w:hAnsi="Consolas"/>
                <w:color w:val="1A1D21"/>
                <w:sz w:val="15"/>
                <w:szCs w:val="15"/>
                <w:shd w:fill="F2F1ED" w:color="auto" w:val="clear"/>
              </w:rPr>
              <w:t xml:space="preserve">control.button.toggle</w:t>
            </w:r>
            <w:r>
              <w:rPr>
                <w:sz w:val="18"/>
                <w:szCs w:val="18"/>
              </w:rPr>
              <w:t xml:space="preserve">, </w:t>
            </w:r>
            <w:r>
              <w:rPr>
                <w:rFonts w:ascii="Consolas" w:cs="Consolas" w:eastAsia="Consolas" w:hAnsi="Consolas"/>
                <w:color w:val="1A1D21"/>
                <w:sz w:val="15"/>
                <w:szCs w:val="15"/>
                <w:shd w:fill="F2F1ED" w:color="auto" w:val="clear"/>
              </w:rPr>
              <w:t xml:space="preserve">control.button.momentary</w:t>
            </w:r>
            <w:r>
              <w:rPr>
                <w:sz w:val="18"/>
                <w:szCs w:val="18"/>
              </w:rPr>
              <w:t xml:space="preserve">, </w:t>
            </w:r>
            <w:r>
              <w:rPr>
                <w:rFonts w:ascii="Consolas" w:cs="Consolas" w:eastAsia="Consolas" w:hAnsi="Consolas"/>
                <w:color w:val="1A1D21"/>
                <w:sz w:val="15"/>
                <w:szCs w:val="15"/>
                <w:shd w:fill="F2F1ED" w:color="auto" w:val="clear"/>
              </w:rPr>
              <w:t xml:space="preserve">control.slider</w:t>
            </w:r>
          </w:p>
        </w:tc>
        <w:tc>
          <w:tcPr>
            <w:tcW w:type="dxa" w:w="5572"/>
            <w:shd w:fill="FFFFFF" w:color="auto" w:val="clear"/>
            <w:tcMar>
              <w:top w:type="dxa" w:w="120"/>
              <w:left w:type="dxa" w:w="160"/>
              <w:bottom w:type="dxa" w:w="120"/>
              <w:right w:type="dxa" w:w="160"/>
            </w:tcMar>
            <w:vAlign w:val="top"/>
          </w:tcPr>
          <w:p>
            <w:pPr>
              <w:spacing w:after="0" w:line="260"/>
            </w:pPr>
            <w:r>
              <w:rPr>
                <w:sz w:val="18"/>
                <w:szCs w:val="18"/>
              </w:rPr>
              <w:t xml:space="preserve">Interactive elements. A write binding attaches to one of these.</w:t>
            </w:r>
          </w:p>
        </w:tc>
      </w:tr>
      <w:tr>
        <w:trPr>
          <w:cantSplit/>
        </w:trPr>
        <w:tc>
          <w:tcPr>
            <w:tcW w:type="dxa" w:w="1500"/>
            <w:shd w:fill="FAF9F6" w:color="auto" w:val="clear"/>
            <w:tcMar>
              <w:top w:type="dxa" w:w="120"/>
              <w:left w:type="dxa" w:w="160"/>
              <w:bottom w:type="dxa" w:w="120"/>
              <w:right w:type="dxa" w:w="160"/>
            </w:tcMar>
            <w:vAlign w:val="top"/>
          </w:tcPr>
          <w:p>
            <w:pPr>
              <w:spacing w:after="0" w:line="260"/>
            </w:pPr>
          </w:p>
        </w:tc>
        <w:tc>
          <w:tcPr>
            <w:tcW w:type="dxa" w:w="20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label.text</w:t>
            </w:r>
            <w:r>
              <w:rPr>
                <w:sz w:val="18"/>
                <w:szCs w:val="18"/>
              </w:rPr>
              <w:t xml:space="preserve">, </w:t>
            </w:r>
            <w:r>
              <w:rPr>
                <w:rFonts w:ascii="Consolas" w:cs="Consolas" w:eastAsia="Consolas" w:hAnsi="Consolas"/>
                <w:color w:val="1A1D21"/>
                <w:sz w:val="15"/>
                <w:szCs w:val="15"/>
                <w:shd w:fill="F2F1ED" w:color="auto" w:val="clear"/>
              </w:rPr>
              <w:t xml:space="preserve">label.dimension</w:t>
            </w:r>
            <w:r>
              <w:rPr>
                <w:sz w:val="18"/>
                <w:szCs w:val="18"/>
              </w:rPr>
              <w:t xml:space="preserve">, </w:t>
            </w:r>
            <w:r>
              <w:rPr>
                <w:rFonts w:ascii="Consolas" w:cs="Consolas" w:eastAsia="Consolas" w:hAnsi="Consolas"/>
                <w:color w:val="1A1D21"/>
                <w:sz w:val="15"/>
                <w:szCs w:val="15"/>
                <w:shd w:fill="F2F1ED" w:color="auto" w:val="clear"/>
              </w:rPr>
              <w:t xml:space="preserve">legend</w:t>
            </w:r>
            <w:r>
              <w:rPr>
                <w:sz w:val="18"/>
                <w:szCs w:val="18"/>
              </w:rPr>
              <w:t xml:space="preserve">, </w:t>
            </w:r>
            <w:r>
              <w:rPr>
                <w:rFonts w:ascii="Consolas" w:cs="Consolas" w:eastAsia="Consolas" w:hAnsi="Consolas"/>
                <w:color w:val="1A1D21"/>
                <w:sz w:val="15"/>
                <w:szCs w:val="15"/>
                <w:shd w:fill="F2F1ED" w:color="auto" w:val="clear"/>
              </w:rPr>
              <w:t xml:space="preserve">navigation.link</w:t>
            </w:r>
            <w:r>
              <w:rPr>
                <w:sz w:val="18"/>
                <w:szCs w:val="18"/>
              </w:rPr>
              <w:t xml:space="preserve">, </w:t>
            </w:r>
            <w:r>
              <w:rPr>
                <w:rFonts w:ascii="Consolas" w:cs="Consolas" w:eastAsia="Consolas" w:hAnsi="Consolas"/>
                <w:color w:val="1A1D21"/>
                <w:sz w:val="15"/>
                <w:szCs w:val="15"/>
                <w:shd w:fill="F2F1ED" w:color="auto" w:val="clear"/>
              </w:rPr>
              <w:t xml:space="preserve">group</w:t>
            </w:r>
          </w:p>
        </w:tc>
        <w:tc>
          <w:tcPr>
            <w:tcW w:type="dxa" w:w="5572"/>
            <w:shd w:fill="FAF9F6" w:color="auto" w:val="clear"/>
            <w:tcMar>
              <w:top w:type="dxa" w:w="120"/>
              <w:left w:type="dxa" w:w="160"/>
              <w:bottom w:type="dxa" w:w="120"/>
              <w:right w:type="dxa" w:w="160"/>
            </w:tcMar>
            <w:vAlign w:val="top"/>
          </w:tcPr>
          <w:p>
            <w:pPr>
              <w:spacing w:after="0" w:line="260"/>
            </w:pPr>
            <w:r>
              <w:rPr>
                <w:sz w:val="18"/>
                <w:szCs w:val="18"/>
              </w:rPr>
              <w:t xml:space="preserve">Annotation and structure.</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sz w:val="18"/>
                <w:szCs w:val="18"/>
              </w:rPr>
              <w:t xml:space="preserve">Space</w:t>
            </w:r>
          </w:p>
        </w:tc>
        <w:tc>
          <w:tcPr>
            <w:tcW w:type="dxa" w:w="20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space.boundary</w:t>
            </w:r>
            <w:r>
              <w:rPr>
                <w:sz w:val="18"/>
                <w:szCs w:val="18"/>
              </w:rPr>
              <w:t xml:space="preserve">, </w:t>
            </w:r>
            <w:r>
              <w:rPr>
                <w:rFonts w:ascii="Consolas" w:cs="Consolas" w:eastAsia="Consolas" w:hAnsi="Consolas"/>
                <w:color w:val="1A1D21"/>
                <w:sz w:val="15"/>
                <w:szCs w:val="15"/>
                <w:shd w:fill="F2F1ED" w:color="auto" w:val="clear"/>
              </w:rPr>
              <w:t xml:space="preserve">wall</w:t>
            </w:r>
            <w:r>
              <w:rPr>
                <w:sz w:val="18"/>
                <w:szCs w:val="18"/>
              </w:rPr>
              <w:t xml:space="preserve">, </w:t>
            </w:r>
            <w:r>
              <w:rPr>
                <w:rFonts w:ascii="Consolas" w:cs="Consolas" w:eastAsia="Consolas" w:hAnsi="Consolas"/>
                <w:color w:val="1A1D21"/>
                <w:sz w:val="15"/>
                <w:szCs w:val="15"/>
                <w:shd w:fill="F2F1ED" w:color="auto" w:val="clear"/>
              </w:rPr>
              <w:t xml:space="preserve">door</w:t>
            </w:r>
            <w:r>
              <w:rPr>
                <w:sz w:val="18"/>
                <w:szCs w:val="18"/>
              </w:rPr>
              <w:t xml:space="preserve">, </w:t>
            </w:r>
            <w:r>
              <w:rPr>
                <w:rFonts w:ascii="Consolas" w:cs="Consolas" w:eastAsia="Consolas" w:hAnsi="Consolas"/>
                <w:color w:val="1A1D21"/>
                <w:sz w:val="15"/>
                <w:szCs w:val="15"/>
                <w:shd w:fill="F2F1ED" w:color="auto" w:val="clear"/>
              </w:rPr>
              <w:t xml:space="preserve">window</w:t>
            </w:r>
            <w:r>
              <w:rPr>
                <w:sz w:val="18"/>
                <w:szCs w:val="18"/>
              </w:rPr>
              <w:t xml:space="preserve">, </w:t>
            </w:r>
            <w:r>
              <w:rPr>
                <w:rFonts w:ascii="Consolas" w:cs="Consolas" w:eastAsia="Consolas" w:hAnsi="Consolas"/>
                <w:color w:val="1A1D21"/>
                <w:sz w:val="15"/>
                <w:szCs w:val="15"/>
                <w:shd w:fill="F2F1ED" w:color="auto" w:val="clear"/>
              </w:rPr>
              <w:t xml:space="preserve">core</w:t>
            </w:r>
            <w:r>
              <w:rPr>
                <w:sz w:val="18"/>
                <w:szCs w:val="18"/>
              </w:rPr>
              <w:t xml:space="preserve">, </w:t>
            </w:r>
            <w:r>
              <w:rPr>
                <w:rFonts w:ascii="Consolas" w:cs="Consolas" w:eastAsia="Consolas" w:hAnsi="Consolas"/>
                <w:color w:val="1A1D21"/>
                <w:sz w:val="15"/>
                <w:szCs w:val="15"/>
                <w:shd w:fill="F2F1ED" w:color="auto" w:val="clear"/>
              </w:rPr>
              <w:t xml:space="preserve">stair</w:t>
            </w:r>
            <w:r>
              <w:rPr>
                <w:sz w:val="18"/>
                <w:szCs w:val="18"/>
              </w:rPr>
              <w:t xml:space="preserve">, </w:t>
            </w:r>
            <w:r>
              <w:rPr>
                <w:rFonts w:ascii="Consolas" w:cs="Consolas" w:eastAsia="Consolas" w:hAnsi="Consolas"/>
                <w:color w:val="1A1D21"/>
                <w:sz w:val="15"/>
                <w:szCs w:val="15"/>
                <w:shd w:fill="F2F1ED" w:color="auto" w:val="clear"/>
              </w:rPr>
              <w:t xml:space="preserve">column</w:t>
            </w:r>
          </w:p>
        </w:tc>
        <w:tc>
          <w:tcPr>
            <w:tcW w:type="dxa" w:w="5572"/>
            <w:shd w:fill="FFFFFF" w:color="auto" w:val="clear"/>
            <w:tcMar>
              <w:top w:type="dxa" w:w="120"/>
              <w:left w:type="dxa" w:w="160"/>
              <w:bottom w:type="dxa" w:w="120"/>
              <w:right w:type="dxa" w:w="160"/>
            </w:tcMar>
            <w:vAlign w:val="top"/>
          </w:tcPr>
          <w:p>
            <w:pPr>
              <w:spacing w:after="0" w:line="260"/>
            </w:pPr>
            <w:r>
              <w:rPr>
                <w:sz w:val="18"/>
                <w:szCs w:val="18"/>
              </w:rPr>
              <w:t xml:space="preserve">Architectural context on a plan. Usually geometry rather than symbol.</w:t>
            </w:r>
          </w:p>
        </w:tc>
      </w:tr>
    </w:tbl>
    <w:p>
      <w:pPr>
        <w:pStyle w:val="NoteCopy"/>
      </w:pPr>
      <w:r>
        <w:rPr>
          <w:b/>
          <w:bCs/>
          <w:color w:val="70757C"/>
          <w:sz w:val="18"/>
          <w:szCs w:val="18"/>
        </w:rPr>
        <w:t xml:space="preserve">NOTE </w:t>
      </w:r>
      <w:r>
        <w:rPr>
          <w:color w:val="70757C"/>
          <w:sz w:val="18"/>
          <w:szCs w:val="18"/>
        </w:rPr>
        <w:t xml:space="preserve">Anything outside this vocabulary uses figure mode (13.4.3). An exporter </w:t>
      </w:r>
      <w:r>
        <w:rPr>
          <w:b/>
          <w:bCs/>
          <w:color w:val="70757C"/>
          <w:sz w:val="18"/>
          <w:szCs w:val="18"/>
        </w:rPr>
        <w:t xml:space="preserve">SHOULD</w:t>
      </w:r>
      <w:r>
        <w:rPr>
          <w:color w:val="70757C"/>
          <w:sz w:val="18"/>
          <w:szCs w:val="18"/>
        </w:rPr>
        <w:t xml:space="preserve"> prefer a role where one fits, because a role is what lets the receiving vendor apply its own design system; a figure is rendered as given and therefore looks foreign in the receiving interface.</w:t>
      </w:r>
    </w:p>
    <w:p>
      <w:r>
        <w:br w:type="page"/>
      </w:r>
    </w:p>
    <w:p>
      <w:pPr>
        <w:pStyle w:val="Heading1"/>
      </w:pPr>
      <w:r>
        <w:rPr>
          <w:rFonts w:ascii="Georgia" w:cs="Georgia" w:eastAsia="Georgia" w:hAnsi="Georgia"/>
          <w:color w:val="8C6D46"/>
        </w:rPr>
        <w:t xml:space="preserve">C</w:t>
      </w:r>
      <w:r>
        <w:t xml:space="preserve">  </w:t>
      </w:r>
      <w:r>
        <w:t xml:space="preserve">Unit codes</w:t>
      </w:r>
    </w:p>
    <w:p>
      <w:pPr>
        <w:pStyle w:val="MetaNote"/>
      </w:pPr>
      <w:r>
        <w:t xml:space="preserve">Normative. C.3 is informative.</w:t>
      </w:r>
    </w:p>
    <w:p>
      <w:pPr>
        <w:pStyle w:val="Heading2"/>
      </w:pPr>
      <w:r>
        <w:rPr>
          <w:color w:val="8C6D46"/>
        </w:rPr>
        <w:t xml:space="preserve">C.1</w:t>
      </w:r>
      <w:r>
        <w:t xml:space="preserve">  </w:t>
      </w:r>
      <w:r>
        <w:t xml:space="preserve">Why this vocabulary exists</w:t>
      </w:r>
    </w:p>
    <w:p>
      <w:pPr>
        <w:pStyle w:val="BodyCopy"/>
      </w:pPr>
      <w:r>
        <w:t xml:space="preserve">A dimensional value needs a canonical unit representation or values cannot be compared, converted, or checked. This document defines one rather than adopting an external registry, for two reasons.</w:t>
      </w:r>
    </w:p>
    <w:p>
      <w:pPr>
        <w:pStyle w:val="BodyCopy"/>
      </w:pPr>
      <w:r>
        <w:t xml:space="preserve">The first is legibility. A package is read by the engineers who operate the building, and the codes they meet should be the codes they write. The second is coverage: at least one unit in daily use across the industry — the ton of refrigeration — has no code at all in the registry this draft previously cited, which is a coverage failure rather than a matter of taste.</w:t>
      </w:r>
    </w:p>
    <w:p>
      <w:pPr>
        <w:pStyle w:val="NoteCopy"/>
      </w:pPr>
      <w:r>
        <w:rPr>
          <w:b/>
          <w:bCs/>
          <w:color w:val="70757C"/>
          <w:sz w:val="18"/>
          <w:szCs w:val="18"/>
        </w:rPr>
        <w:t xml:space="preserve">NOTE </w:t>
      </w:r>
      <w:r>
        <w:rPr>
          <w:color w:val="70757C"/>
          <w:sz w:val="18"/>
          <w:szCs w:val="18"/>
        </w:rPr>
        <w:t xml:space="preserve">This is the same pattern used for classifications (7.7). Define the small thing that is needed, name the external vocabulary where one is used, and do not force everything through a foreign one.</w:t>
      </w:r>
    </w:p>
    <w:p>
      <w:pPr>
        <w:pStyle w:val="Heading2"/>
      </w:pPr>
      <w:r>
        <w:rPr>
          <w:color w:val="8C6D46"/>
        </w:rPr>
        <w:t xml:space="preserve">C.2</w:t>
      </w:r>
      <w:r>
        <w:t xml:space="preserve">  </w:t>
      </w:r>
      <w:r>
        <w:t xml:space="preserve">The vocabulary</w:t>
      </w:r>
    </w:p>
    <w:p>
      <w:pPr>
        <w:pStyle w:val="BodyCopy"/>
      </w:pPr>
      <w:r>
        <w:t xml:space="preserve">Codes are case-sensitive and follow SI capitalization: </w:t>
      </w:r>
      <w:r>
        <w:rPr>
          <w:rFonts w:ascii="Consolas" w:cs="Consolas" w:eastAsia="Consolas" w:hAnsi="Consolas"/>
          <w:color w:val="1A1D21"/>
          <w:sz w:val="18"/>
          <w:szCs w:val="18"/>
          <w:shd w:fill="F2F1ED" w:color="auto" w:val="clear"/>
        </w:rPr>
        <w:t xml:space="preserve">kW</w:t>
      </w:r>
      <w:r>
        <w:t xml:space="preserve">, not </w:t>
      </w:r>
      <w:r>
        <w:rPr>
          <w:rFonts w:ascii="Consolas" w:cs="Consolas" w:eastAsia="Consolas" w:hAnsi="Consolas"/>
          <w:color w:val="1A1D21"/>
          <w:sz w:val="18"/>
          <w:szCs w:val="18"/>
          <w:shd w:fill="F2F1ED" w:color="auto" w:val="clear"/>
        </w:rPr>
        <w:t xml:space="preserve">KW</w:t>
      </w:r>
      <w:r>
        <w:t xml:space="preserve">. Compound codes that appear here are atomic tokens, not a grammar; </w:t>
      </w:r>
      <w:r>
        <w:rPr>
          <w:rFonts w:ascii="Consolas" w:cs="Consolas" w:eastAsia="Consolas" w:hAnsi="Consolas"/>
          <w:color w:val="1A1D21"/>
          <w:sz w:val="18"/>
          <w:szCs w:val="18"/>
          <w:shd w:fill="F2F1ED" w:color="auto" w:val="clear"/>
        </w:rPr>
        <w:t xml:space="preserve">m3/s</w:t>
      </w:r>
      <w:r>
        <w:t xml:space="preserve"> is one code, not a construction. A unit not in this table is expressed by setting </w:t>
      </w:r>
      <w:r>
        <w:rPr>
          <w:rFonts w:ascii="Consolas" w:cs="Consolas" w:eastAsia="Consolas" w:hAnsi="Consolas"/>
          <w:color w:val="1A1D21"/>
          <w:sz w:val="18"/>
          <w:szCs w:val="18"/>
          <w:shd w:fill="F2F1ED" w:color="auto" w:val="clear"/>
        </w:rPr>
        <w:t xml:space="preserve">unitSystem</w:t>
      </w:r>
      <w:r>
        <w:t xml:space="preserve"> and carrying that system's code (7.4), and is NOT invented as a new </w:t>
      </w:r>
      <w:r>
        <w:rPr>
          <w:rFonts w:ascii="Consolas" w:cs="Consolas" w:eastAsia="Consolas" w:hAnsi="Consolas"/>
          <w:color w:val="1A1D21"/>
          <w:sz w:val="18"/>
          <w:szCs w:val="18"/>
          <w:shd w:fill="F2F1ED" w:color="auto" w:val="clear"/>
        </w:rPr>
        <w:t xml:space="preserve">bus</w:t>
      </w:r>
      <w:r>
        <w:t xml:space="preserve"> code.</w:t>
      </w:r>
    </w:p>
    <w:p>
      <w:pPr>
        <w:pStyle w:val="Heading3"/>
      </w:pPr>
      <w:r>
        <w:rPr>
          <w:color w:val="8C6D46"/>
        </w:rPr>
        <w:t xml:space="preserve"/>
      </w:r>
      <w:r>
        <w:t xml:space="preserve">  </w:t>
      </w:r>
      <w:r>
        <w:t xml:space="preserve">Temperature</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1500"/>
        <w:gridCol w:w="4600"/>
        <w:gridCol w:w="2972"/>
      </w:tblGrid>
      <w:tr>
        <w:trPr>
          <w:cantSplit/>
          <w:tblHeader/>
        </w:trPr>
        <w:tc>
          <w:tcPr>
            <w:tcW w:type="dxa" w:w="15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Code</w:t>
            </w:r>
          </w:p>
        </w:tc>
        <w:tc>
          <w:tcPr>
            <w:tcW w:type="dxa" w:w="46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Unit</w:t>
            </w:r>
          </w:p>
        </w:tc>
        <w:tc>
          <w:tcPr>
            <w:tcW w:type="dxa" w:w="29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Quantity</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degF</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degrees Fahrenheit</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temperature</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degC</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degrees Celsius</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temperature</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K</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kelvin</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temperature</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deltaDegF</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delta degrees Fahrenheit</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temperature difference</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deltaDegC</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delta degrees Celsius</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temperature difference</w:t>
            </w:r>
          </w:p>
        </w:tc>
      </w:tr>
    </w:tbl>
    <w:p>
      <w:pPr>
        <w:pStyle w:val="Heading3"/>
      </w:pPr>
      <w:r>
        <w:rPr>
          <w:color w:val="8C6D46"/>
        </w:rPr>
        <w:t xml:space="preserve"/>
      </w:r>
      <w:r>
        <w:t xml:space="preserve">  </w:t>
      </w:r>
      <w:r>
        <w:t xml:space="preserve">Pressure</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1500"/>
        <w:gridCol w:w="4600"/>
        <w:gridCol w:w="2972"/>
      </w:tblGrid>
      <w:tr>
        <w:trPr>
          <w:cantSplit/>
          <w:tblHeader/>
        </w:trPr>
        <w:tc>
          <w:tcPr>
            <w:tcW w:type="dxa" w:w="15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Code</w:t>
            </w:r>
          </w:p>
        </w:tc>
        <w:tc>
          <w:tcPr>
            <w:tcW w:type="dxa" w:w="46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Unit</w:t>
            </w:r>
          </w:p>
        </w:tc>
        <w:tc>
          <w:tcPr>
            <w:tcW w:type="dxa" w:w="29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Quantity</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Pa</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pascal</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pressure</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kPa</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kilopascal</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pressure</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inH2O</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inches of water column</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pressure</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inHg</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inches of mercury</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pressure</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psi</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pounds per square inch</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pressure</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bar</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bar</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pressure</w:t>
            </w:r>
          </w:p>
        </w:tc>
      </w:tr>
    </w:tbl>
    <w:p>
      <w:pPr>
        <w:pStyle w:val="Heading3"/>
      </w:pPr>
      <w:r>
        <w:rPr>
          <w:color w:val="8C6D46"/>
        </w:rPr>
        <w:t xml:space="preserve"/>
      </w:r>
      <w:r>
        <w:t xml:space="preserve">  </w:t>
      </w:r>
      <w:r>
        <w:t xml:space="preserve">Flow and velocity</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1500"/>
        <w:gridCol w:w="4600"/>
        <w:gridCol w:w="2972"/>
      </w:tblGrid>
      <w:tr>
        <w:trPr>
          <w:cantSplit/>
          <w:tblHeader/>
        </w:trPr>
        <w:tc>
          <w:tcPr>
            <w:tcW w:type="dxa" w:w="15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Code</w:t>
            </w:r>
          </w:p>
        </w:tc>
        <w:tc>
          <w:tcPr>
            <w:tcW w:type="dxa" w:w="46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Unit</w:t>
            </w:r>
          </w:p>
        </w:tc>
        <w:tc>
          <w:tcPr>
            <w:tcW w:type="dxa" w:w="29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Quantity</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cfm</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cubic feet per minute</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volumetric flow</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m3/s</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cubic meters per second</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volumetric flow</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m3/h</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cubic meters per hour</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volumetric flow</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L/s</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liters per second</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volumetric flow</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gpm</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US gallons per minute</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volumetric flow</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kg/s</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kilograms per second</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mass flow</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lb/h</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pounds per hour</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mass flow</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fpm</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feet per minute</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velocity</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m/s</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meters per second</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velocity</w:t>
            </w:r>
          </w:p>
        </w:tc>
      </w:tr>
    </w:tbl>
    <w:p>
      <w:pPr>
        <w:pStyle w:val="Heading3"/>
      </w:pPr>
      <w:r>
        <w:rPr>
          <w:color w:val="8C6D46"/>
        </w:rPr>
        <w:t xml:space="preserve"/>
      </w:r>
      <w:r>
        <w:t xml:space="preserve">  </w:t>
      </w:r>
      <w:r>
        <w:t xml:space="preserve">Power and energy</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1500"/>
        <w:gridCol w:w="4600"/>
        <w:gridCol w:w="2972"/>
      </w:tblGrid>
      <w:tr>
        <w:trPr>
          <w:cantSplit/>
          <w:tblHeader/>
        </w:trPr>
        <w:tc>
          <w:tcPr>
            <w:tcW w:type="dxa" w:w="15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Code</w:t>
            </w:r>
          </w:p>
        </w:tc>
        <w:tc>
          <w:tcPr>
            <w:tcW w:type="dxa" w:w="46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Unit</w:t>
            </w:r>
          </w:p>
        </w:tc>
        <w:tc>
          <w:tcPr>
            <w:tcW w:type="dxa" w:w="29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Quantity</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W</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watt</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power</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kW</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kilowatt</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power</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MW</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megawatt</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power</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Btu/h</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BTU per hour</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power</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MBtu/h</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thousand BTU per hour</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power</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tonRef</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tons of refrigeration. No equivalent exists in any external registry surveyed. One ton of refrigeration is 12000 Btu/h exactly.</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power</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hp</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horsepower</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power</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Wh</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watt hour</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energy</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kWh</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kilowatt hour</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energy</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MWh</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megawatt hour</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energy</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J</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joule</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energy</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MJ</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megajoule</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energy</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Btu</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British thermal unit</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energy</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therm</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therm</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energy</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tonHours</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ton hours of refrigeration</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energy</w:t>
            </w:r>
          </w:p>
        </w:tc>
      </w:tr>
    </w:tbl>
    <w:p>
      <w:pPr>
        <w:pStyle w:val="Heading3"/>
      </w:pPr>
      <w:r>
        <w:rPr>
          <w:color w:val="8C6D46"/>
        </w:rPr>
        <w:t xml:space="preserve"/>
      </w:r>
      <w:r>
        <w:t xml:space="preserve">  </w:t>
      </w:r>
      <w:r>
        <w:t xml:space="preserve">Electrical</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1500"/>
        <w:gridCol w:w="4600"/>
        <w:gridCol w:w="2972"/>
      </w:tblGrid>
      <w:tr>
        <w:trPr>
          <w:cantSplit/>
          <w:tblHeader/>
        </w:trPr>
        <w:tc>
          <w:tcPr>
            <w:tcW w:type="dxa" w:w="15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Code</w:t>
            </w:r>
          </w:p>
        </w:tc>
        <w:tc>
          <w:tcPr>
            <w:tcW w:type="dxa" w:w="46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Unit</w:t>
            </w:r>
          </w:p>
        </w:tc>
        <w:tc>
          <w:tcPr>
            <w:tcW w:type="dxa" w:w="29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Quantity</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V</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volt</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electric potential</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A</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ampere</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electric current</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kVA</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kilovolt-ampere</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apparent power</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kVAR</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kilovolt-ampere reactive</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reactive power</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Hz</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hertz</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frequency</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ohm</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ohm</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resistance</w:t>
            </w:r>
          </w:p>
        </w:tc>
      </w:tr>
    </w:tbl>
    <w:p>
      <w:pPr>
        <w:pStyle w:val="Heading3"/>
      </w:pPr>
      <w:r>
        <w:rPr>
          <w:color w:val="8C6D46"/>
        </w:rPr>
        <w:t xml:space="preserve"/>
      </w:r>
      <w:r>
        <w:t xml:space="preserve">  </w:t>
      </w:r>
      <w:r>
        <w:t xml:space="preserve">Length, area, volume, and mass</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1500"/>
        <w:gridCol w:w="4600"/>
        <w:gridCol w:w="2972"/>
      </w:tblGrid>
      <w:tr>
        <w:trPr>
          <w:cantSplit/>
          <w:tblHeader/>
        </w:trPr>
        <w:tc>
          <w:tcPr>
            <w:tcW w:type="dxa" w:w="15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Code</w:t>
            </w:r>
          </w:p>
        </w:tc>
        <w:tc>
          <w:tcPr>
            <w:tcW w:type="dxa" w:w="46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Unit</w:t>
            </w:r>
          </w:p>
        </w:tc>
        <w:tc>
          <w:tcPr>
            <w:tcW w:type="dxa" w:w="29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Quantity</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meter</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length</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mm</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millimeter</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length</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ft</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foot</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length</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in</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inch</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length</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m2</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square meters</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area</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ft2</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square feet</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area</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m3</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cubic meters</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volume</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ft3</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cubic feet</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volume</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L</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liter</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volume</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gal</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US gallon</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volume</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kg</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kilogram</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mass</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lb</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pound</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mass</w:t>
            </w:r>
          </w:p>
        </w:tc>
      </w:tr>
    </w:tbl>
    <w:p>
      <w:pPr>
        <w:pStyle w:val="Heading3"/>
      </w:pPr>
      <w:r>
        <w:rPr>
          <w:color w:val="8C6D46"/>
        </w:rPr>
        <w:t xml:space="preserve"/>
      </w:r>
      <w:r>
        <w:t xml:space="preserve">  </w:t>
      </w:r>
      <w:r>
        <w:t xml:space="preserve">Time</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1500"/>
        <w:gridCol w:w="4600"/>
        <w:gridCol w:w="2972"/>
      </w:tblGrid>
      <w:tr>
        <w:trPr>
          <w:cantSplit/>
          <w:tblHeader/>
        </w:trPr>
        <w:tc>
          <w:tcPr>
            <w:tcW w:type="dxa" w:w="15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Code</w:t>
            </w:r>
          </w:p>
        </w:tc>
        <w:tc>
          <w:tcPr>
            <w:tcW w:type="dxa" w:w="46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Unit</w:t>
            </w:r>
          </w:p>
        </w:tc>
        <w:tc>
          <w:tcPr>
            <w:tcW w:type="dxa" w:w="29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Quantity</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ms</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millisecond</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time</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s</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second</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time</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min</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minute</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time</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h</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hour</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time</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day</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day</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time</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yr</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year</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time</w:t>
            </w:r>
          </w:p>
        </w:tc>
      </w:tr>
    </w:tbl>
    <w:p>
      <w:pPr>
        <w:pStyle w:val="Heading3"/>
      </w:pPr>
      <w:r>
        <w:rPr>
          <w:color w:val="8C6D46"/>
        </w:rPr>
        <w:t xml:space="preserve"/>
      </w:r>
      <w:r>
        <w:t xml:space="preserve">  </w:t>
      </w:r>
      <w:r>
        <w:t xml:space="preserve">Ratio, humidity, and concentration</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1500"/>
        <w:gridCol w:w="4600"/>
        <w:gridCol w:w="2972"/>
      </w:tblGrid>
      <w:tr>
        <w:trPr>
          <w:cantSplit/>
          <w:tblHeader/>
        </w:trPr>
        <w:tc>
          <w:tcPr>
            <w:tcW w:type="dxa" w:w="15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Code</w:t>
            </w:r>
          </w:p>
        </w:tc>
        <w:tc>
          <w:tcPr>
            <w:tcW w:type="dxa" w:w="46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Unit</w:t>
            </w:r>
          </w:p>
        </w:tc>
        <w:tc>
          <w:tcPr>
            <w:tcW w:type="dxa" w:w="29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Quantity</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pf</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power factor</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ratio</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pct</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percent</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ratio</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ratio</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dimensionless ratio</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ratio</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pctRH</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percent relative humidity</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relative humidity</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gPerKg</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grams of water per kilogram of dry air</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humidity ratio</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grPerLb</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grains of water per pound of dry air</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humidity ratio</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ppm</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parts per million</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concentration</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ppb</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parts per billion</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concentration</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mg/m3</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milligrams per cubic meter</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concentration</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ug/m3</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micrograms per cubic meter</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concentration</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count</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count</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count</w:t>
            </w:r>
          </w:p>
        </w:tc>
      </w:tr>
    </w:tbl>
    <w:p>
      <w:pPr>
        <w:pStyle w:val="Heading3"/>
      </w:pPr>
      <w:r>
        <w:rPr>
          <w:color w:val="8C6D46"/>
        </w:rPr>
        <w:t xml:space="preserve"/>
      </w:r>
      <w:r>
        <w:t xml:space="preserve">  </w:t>
      </w:r>
      <w:r>
        <w:t xml:space="preserve">Rotation, light, sound, and angle</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1500"/>
        <w:gridCol w:w="4600"/>
        <w:gridCol w:w="2972"/>
      </w:tblGrid>
      <w:tr>
        <w:trPr>
          <w:cantSplit/>
          <w:tblHeader/>
        </w:trPr>
        <w:tc>
          <w:tcPr>
            <w:tcW w:type="dxa" w:w="15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Code</w:t>
            </w:r>
          </w:p>
        </w:tc>
        <w:tc>
          <w:tcPr>
            <w:tcW w:type="dxa" w:w="46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Unit</w:t>
            </w:r>
          </w:p>
        </w:tc>
        <w:tc>
          <w:tcPr>
            <w:tcW w:type="dxa" w:w="29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Quantity</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rpm</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revolutions per minute</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rotational speed</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lux</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lux</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illuminance</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fc</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foot-candle</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illuminance</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dB</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decibel</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sound level</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dBA</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A-weighted decibel</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sound level</w:t>
            </w:r>
          </w:p>
        </w:tc>
      </w:tr>
      <w:tr>
        <w:trPr>
          <w:cantSplit/>
        </w:trPr>
        <w:tc>
          <w:tcPr>
            <w:tcW w:type="dxa" w:w="15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deg</w:t>
            </w:r>
          </w:p>
        </w:tc>
        <w:tc>
          <w:tcPr>
            <w:tcW w:type="dxa" w:w="4600"/>
            <w:shd w:fill="FAF9F6" w:color="auto" w:val="clear"/>
            <w:tcMar>
              <w:top w:type="dxa" w:w="120"/>
              <w:left w:type="dxa" w:w="160"/>
              <w:bottom w:type="dxa" w:w="120"/>
              <w:right w:type="dxa" w:w="160"/>
            </w:tcMar>
            <w:vAlign w:val="top"/>
          </w:tcPr>
          <w:p>
            <w:pPr>
              <w:spacing w:after="0" w:line="260"/>
            </w:pPr>
            <w:r>
              <w:rPr>
                <w:sz w:val="18"/>
                <w:szCs w:val="18"/>
              </w:rPr>
              <w:t xml:space="preserve">degree of arc</w:t>
            </w:r>
          </w:p>
        </w:tc>
        <w:tc>
          <w:tcPr>
            <w:tcW w:type="dxa" w:w="2972"/>
            <w:shd w:fill="FAF9F6" w:color="auto" w:val="clear"/>
            <w:tcMar>
              <w:top w:type="dxa" w:w="120"/>
              <w:left w:type="dxa" w:w="160"/>
              <w:bottom w:type="dxa" w:w="120"/>
              <w:right w:type="dxa" w:w="160"/>
            </w:tcMar>
            <w:vAlign w:val="top"/>
          </w:tcPr>
          <w:p>
            <w:pPr>
              <w:spacing w:after="0" w:line="260"/>
            </w:pPr>
            <w:r>
              <w:rPr>
                <w:sz w:val="18"/>
                <w:szCs w:val="18"/>
              </w:rPr>
              <w:t xml:space="preserve">angle</w:t>
            </w:r>
          </w:p>
        </w:tc>
      </w:tr>
      <w:tr>
        <w:trPr>
          <w:cantSplit/>
        </w:trPr>
        <w:tc>
          <w:tcPr>
            <w:tcW w:type="dxa" w:w="15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rad</w:t>
            </w:r>
          </w:p>
        </w:tc>
        <w:tc>
          <w:tcPr>
            <w:tcW w:type="dxa" w:w="4600"/>
            <w:shd w:fill="FFFFFF" w:color="auto" w:val="clear"/>
            <w:tcMar>
              <w:top w:type="dxa" w:w="120"/>
              <w:left w:type="dxa" w:w="160"/>
              <w:bottom w:type="dxa" w:w="120"/>
              <w:right w:type="dxa" w:w="160"/>
            </w:tcMar>
            <w:vAlign w:val="top"/>
          </w:tcPr>
          <w:p>
            <w:pPr>
              <w:spacing w:after="0" w:line="260"/>
            </w:pPr>
            <w:r>
              <w:rPr>
                <w:sz w:val="18"/>
                <w:szCs w:val="18"/>
              </w:rPr>
              <w:t xml:space="preserve">radian</w:t>
            </w:r>
          </w:p>
        </w:tc>
        <w:tc>
          <w:tcPr>
            <w:tcW w:type="dxa" w:w="2972"/>
            <w:shd w:fill="FFFFFF" w:color="auto" w:val="clear"/>
            <w:tcMar>
              <w:top w:type="dxa" w:w="120"/>
              <w:left w:type="dxa" w:w="160"/>
              <w:bottom w:type="dxa" w:w="120"/>
              <w:right w:type="dxa" w:w="160"/>
            </w:tcMar>
            <w:vAlign w:val="top"/>
          </w:tcPr>
          <w:p>
            <w:pPr>
              <w:spacing w:after="0" w:line="260"/>
            </w:pPr>
            <w:r>
              <w:rPr>
                <w:sz w:val="18"/>
                <w:szCs w:val="18"/>
              </w:rPr>
              <w:t xml:space="preserve">angle</w:t>
            </w:r>
          </w:p>
        </w:tc>
      </w:tr>
    </w:tbl>
    <w:p>
      <w:pPr>
        <w:pStyle w:val="Heading2"/>
      </w:pPr>
      <w:r>
        <w:rPr>
          <w:color w:val="8C6D46"/>
        </w:rPr>
        <w:t xml:space="preserve">C.3</w:t>
      </w:r>
      <w:r>
        <w:t xml:space="preserve">  </w:t>
      </w:r>
      <w:r>
        <w:t xml:space="preserve">Mapping to the Unified Code for Units of Measure</w:t>
      </w:r>
    </w:p>
    <w:p>
      <w:pPr>
        <w:pStyle w:val="MetaNote"/>
      </w:pPr>
      <w:r>
        <w:t xml:space="preserve">Informative. Provided for implementations that exchange with systems using that registry. No conformance requirement depends on this table.</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2268"/>
        <w:gridCol w:w="2268"/>
        <w:gridCol w:w="2268"/>
        <w:gridCol w:w="2268"/>
      </w:tblGrid>
      <w:tr>
        <w:trPr>
          <w:cantSplit/>
          <w:tblHeader/>
        </w:trPr>
        <w:tc>
          <w:tcPr>
            <w:tcW w:type="dxa" w:w="2268"/>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BUS code</w:t>
            </w:r>
          </w:p>
        </w:tc>
        <w:tc>
          <w:tcPr>
            <w:tcW w:type="dxa" w:w="2268"/>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Equivalent</w:t>
            </w:r>
          </w:p>
        </w:tc>
        <w:tc>
          <w:tcPr>
            <w:tcW w:type="dxa" w:w="2268"/>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BUS code</w:t>
            </w:r>
          </w:p>
        </w:tc>
        <w:tc>
          <w:tcPr>
            <w:tcW w:type="dxa" w:w="2268"/>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Equivalent</w:t>
            </w:r>
          </w:p>
        </w:tc>
      </w:tr>
      <w:tr>
        <w:trPr>
          <w:cantSplit/>
        </w:trPr>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degF</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[degF]</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degC</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Cel</w:t>
            </w:r>
          </w:p>
        </w:tc>
      </w:tr>
      <w:tr>
        <w:trPr>
          <w:cantSplit/>
        </w:trPr>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K</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K</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deltaDegF</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[degF]</w:t>
            </w:r>
          </w:p>
        </w:tc>
      </w:tr>
      <w:tr>
        <w:trPr>
          <w:cantSplit/>
        </w:trPr>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deltaDegC</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Cel</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Pa</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Pa</w:t>
            </w:r>
          </w:p>
        </w:tc>
      </w:tr>
      <w:tr>
        <w:trPr>
          <w:cantSplit/>
        </w:trPr>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kPa</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kPa</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inH2O</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[in_i'H2O]</w:t>
            </w:r>
          </w:p>
        </w:tc>
      </w:tr>
      <w:tr>
        <w:trPr>
          <w:cantSplit/>
        </w:trPr>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inHg</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[in_i'Hg]</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psi</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[psi]</w:t>
            </w:r>
          </w:p>
        </w:tc>
      </w:tr>
      <w:tr>
        <w:trPr>
          <w:cantSplit/>
        </w:trPr>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bar</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bar</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cfm</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[cft_i]/min</w:t>
            </w:r>
          </w:p>
        </w:tc>
      </w:tr>
      <w:tr>
        <w:trPr>
          <w:cantSplit/>
        </w:trPr>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m3/s</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m3/s</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m3/h</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m3/h</w:t>
            </w:r>
          </w:p>
        </w:tc>
      </w:tr>
      <w:tr>
        <w:trPr>
          <w:cantSplit/>
        </w:trPr>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L/s</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L/s</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gpm</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[gal_us]/min</w:t>
            </w:r>
          </w:p>
        </w:tc>
      </w:tr>
      <w:tr>
        <w:trPr>
          <w:cantSplit/>
        </w:trPr>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kg/s</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kg/s</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lb/h</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[lb_av]/h</w:t>
            </w:r>
          </w:p>
        </w:tc>
      </w:tr>
      <w:tr>
        <w:trPr>
          <w:cantSplit/>
        </w:trPr>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fpm</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[ft_i]/min</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m/s</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m/s</w:t>
            </w:r>
          </w:p>
        </w:tc>
      </w:tr>
      <w:tr>
        <w:trPr>
          <w:cantSplit/>
        </w:trPr>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W</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W</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kW</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kW</w:t>
            </w:r>
          </w:p>
        </w:tc>
      </w:tr>
      <w:tr>
        <w:trPr>
          <w:cantSplit/>
        </w:trPr>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MW</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MW</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Btu/h</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[Btu_IT]/h</w:t>
            </w:r>
          </w:p>
        </w:tc>
      </w:tr>
      <w:tr>
        <w:trPr>
          <w:cantSplit/>
        </w:trPr>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MBtu/h</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k[Btu_IT]/h</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tonRef</w:t>
            </w:r>
          </w:p>
        </w:tc>
        <w:tc>
          <w:tcPr>
            <w:tcW w:type="dxa" w:w="2268"/>
            <w:shd w:fill="FFFFFF" w:color="auto" w:val="clear"/>
            <w:tcMar>
              <w:top w:type="dxa" w:w="120"/>
              <w:left w:type="dxa" w:w="160"/>
              <w:bottom w:type="dxa" w:w="120"/>
              <w:right w:type="dxa" w:w="160"/>
            </w:tcMar>
            <w:vAlign w:val="top"/>
          </w:tcPr>
          <w:p>
            <w:pPr>
              <w:spacing w:after="0" w:line="260"/>
            </w:pPr>
            <w:r>
              <w:rPr>
                <w:sz w:val="18"/>
                <w:szCs w:val="18"/>
              </w:rPr>
              <w:t xml:space="preserve">(none defined)</w:t>
            </w:r>
          </w:p>
        </w:tc>
      </w:tr>
      <w:tr>
        <w:trPr>
          <w:cantSplit/>
        </w:trPr>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hp</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[HP]</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Wh</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W.h</w:t>
            </w:r>
          </w:p>
        </w:tc>
      </w:tr>
      <w:tr>
        <w:trPr>
          <w:cantSplit/>
        </w:trPr>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kWh</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kW.h</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MWh</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MW.h</w:t>
            </w:r>
          </w:p>
        </w:tc>
      </w:tr>
      <w:tr>
        <w:trPr>
          <w:cantSplit/>
        </w:trPr>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J</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J</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MJ</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MJ</w:t>
            </w:r>
          </w:p>
        </w:tc>
      </w:tr>
      <w:tr>
        <w:trPr>
          <w:cantSplit/>
        </w:trPr>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Btu</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[Btu_IT]</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therm</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[Btu_IT]</w:t>
            </w:r>
          </w:p>
        </w:tc>
      </w:tr>
      <w:tr>
        <w:trPr>
          <w:cantSplit/>
        </w:trPr>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tonHours</w:t>
            </w:r>
          </w:p>
        </w:tc>
        <w:tc>
          <w:tcPr>
            <w:tcW w:type="dxa" w:w="2268"/>
            <w:shd w:fill="FAF9F6" w:color="auto" w:val="clear"/>
            <w:tcMar>
              <w:top w:type="dxa" w:w="120"/>
              <w:left w:type="dxa" w:w="160"/>
              <w:bottom w:type="dxa" w:w="120"/>
              <w:right w:type="dxa" w:w="160"/>
            </w:tcMar>
            <w:vAlign w:val="top"/>
          </w:tcPr>
          <w:p>
            <w:pPr>
              <w:spacing w:after="0" w:line="260"/>
            </w:pPr>
            <w:r>
              <w:rPr>
                <w:sz w:val="18"/>
                <w:szCs w:val="18"/>
              </w:rPr>
              <w:t xml:space="preserve">(none defined)</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V</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V</w:t>
            </w:r>
          </w:p>
        </w:tc>
      </w:tr>
      <w:tr>
        <w:trPr>
          <w:cantSplit/>
        </w:trPr>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A</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A</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kVA</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kV.A</w:t>
            </w:r>
          </w:p>
        </w:tc>
      </w:tr>
      <w:tr>
        <w:trPr>
          <w:cantSplit/>
        </w:trPr>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kVAR</w:t>
            </w:r>
          </w:p>
        </w:tc>
        <w:tc>
          <w:tcPr>
            <w:tcW w:type="dxa" w:w="2268"/>
            <w:shd w:fill="FAF9F6" w:color="auto" w:val="clear"/>
            <w:tcMar>
              <w:top w:type="dxa" w:w="120"/>
              <w:left w:type="dxa" w:w="160"/>
              <w:bottom w:type="dxa" w:w="120"/>
              <w:right w:type="dxa" w:w="160"/>
            </w:tcMar>
            <w:vAlign w:val="top"/>
          </w:tcPr>
          <w:p>
            <w:pPr>
              <w:spacing w:after="0" w:line="260"/>
            </w:pPr>
            <w:r>
              <w:rPr>
                <w:sz w:val="18"/>
                <w:szCs w:val="18"/>
              </w:rPr>
              <w:t xml:space="preserve">(none defined)</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Hz</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Hz</w:t>
            </w:r>
          </w:p>
        </w:tc>
      </w:tr>
      <w:tr>
        <w:trPr>
          <w:cantSplit/>
        </w:trPr>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pf</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1</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ohm</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Ohm</w:t>
            </w:r>
          </w:p>
        </w:tc>
      </w:tr>
      <w:tr>
        <w:trPr>
          <w:cantSplit/>
        </w:trPr>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mm</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mm</w:t>
            </w:r>
          </w:p>
        </w:tc>
      </w:tr>
      <w:tr>
        <w:trPr>
          <w:cantSplit/>
        </w:trPr>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ft</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[ft_i]</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in</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[in_i]</w:t>
            </w:r>
          </w:p>
        </w:tc>
      </w:tr>
      <w:tr>
        <w:trPr>
          <w:cantSplit/>
        </w:trPr>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m2</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m2</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ft2</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[sft_i]</w:t>
            </w:r>
          </w:p>
        </w:tc>
      </w:tr>
      <w:tr>
        <w:trPr>
          <w:cantSplit/>
        </w:trPr>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m3</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m3</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ft3</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[cft_i]</w:t>
            </w:r>
          </w:p>
        </w:tc>
      </w:tr>
      <w:tr>
        <w:trPr>
          <w:cantSplit/>
        </w:trPr>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L</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L</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gal</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[gal_us]</w:t>
            </w:r>
          </w:p>
        </w:tc>
      </w:tr>
      <w:tr>
        <w:trPr>
          <w:cantSplit/>
        </w:trPr>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kg</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kg</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lb</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[lb_av]</w:t>
            </w:r>
          </w:p>
        </w:tc>
      </w:tr>
      <w:tr>
        <w:trPr>
          <w:cantSplit/>
        </w:trPr>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ms</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ms</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s</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s</w:t>
            </w:r>
          </w:p>
        </w:tc>
      </w:tr>
      <w:tr>
        <w:trPr>
          <w:cantSplit/>
        </w:trPr>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min</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min</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h</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h</w:t>
            </w:r>
          </w:p>
        </w:tc>
      </w:tr>
      <w:tr>
        <w:trPr>
          <w:cantSplit/>
        </w:trPr>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day</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yr</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a</w:t>
            </w:r>
          </w:p>
        </w:tc>
      </w:tr>
      <w:tr>
        <w:trPr>
          <w:cantSplit/>
        </w:trPr>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pct</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pctRH</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w:t>
            </w:r>
          </w:p>
        </w:tc>
      </w:tr>
      <w:tr>
        <w:trPr>
          <w:cantSplit/>
        </w:trPr>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ppm</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[ppm]</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ppb</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[ppb]</w:t>
            </w:r>
          </w:p>
        </w:tc>
      </w:tr>
      <w:tr>
        <w:trPr>
          <w:cantSplit/>
        </w:trPr>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ratio</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1</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count</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1</w:t>
            </w:r>
          </w:p>
        </w:tc>
      </w:tr>
      <w:tr>
        <w:trPr>
          <w:cantSplit/>
        </w:trPr>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mg/m3</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mg/m3</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ug/m3</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ug/m3</w:t>
            </w:r>
          </w:p>
        </w:tc>
      </w:tr>
      <w:tr>
        <w:trPr>
          <w:cantSplit/>
        </w:trPr>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gPerKg</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g/kg</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grPerLb</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[gr]/[lb_av]</w:t>
            </w:r>
          </w:p>
        </w:tc>
      </w:tr>
      <w:tr>
        <w:trPr>
          <w:cantSplit/>
        </w:trPr>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rpm</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{rpm}</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lux</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lx</w:t>
            </w:r>
          </w:p>
        </w:tc>
      </w:tr>
      <w:tr>
        <w:trPr>
          <w:cantSplit/>
        </w:trPr>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fc</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[ftc]</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dB</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dB</w:t>
            </w:r>
          </w:p>
        </w:tc>
      </w:tr>
      <w:tr>
        <w:trPr>
          <w:cantSplit/>
        </w:trPr>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dBA</w:t>
            </w:r>
          </w:p>
        </w:tc>
        <w:tc>
          <w:tcPr>
            <w:tcW w:type="dxa" w:w="2268"/>
            <w:shd w:fill="FAF9F6" w:color="auto" w:val="clear"/>
            <w:tcMar>
              <w:top w:type="dxa" w:w="120"/>
              <w:left w:type="dxa" w:w="160"/>
              <w:bottom w:type="dxa" w:w="120"/>
              <w:right w:type="dxa" w:w="160"/>
            </w:tcMar>
            <w:vAlign w:val="top"/>
          </w:tcPr>
          <w:p>
            <w:pPr>
              <w:spacing w:after="0" w:line="260"/>
            </w:pPr>
            <w:r>
              <w:rPr>
                <w:sz w:val="18"/>
                <w:szCs w:val="18"/>
              </w:rPr>
              <w:t xml:space="preserve">(none defined)</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deg</w:t>
            </w:r>
          </w:p>
        </w:tc>
        <w:tc>
          <w:tcPr>
            <w:tcW w:type="dxa" w:w="2268"/>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deg</w:t>
            </w:r>
          </w:p>
        </w:tc>
      </w:tr>
      <w:tr>
        <w:trPr>
          <w:cantSplit/>
        </w:trPr>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rad</w:t>
            </w:r>
          </w:p>
        </w:tc>
        <w:tc>
          <w:tcPr>
            <w:tcW w:type="dxa" w:w="2268"/>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rad</w:t>
            </w:r>
          </w:p>
        </w:tc>
        <w:tc>
          <w:tcPr>
            <w:tcW w:type="dxa" w:w="2268"/>
            <w:shd w:fill="FFFFFF" w:color="auto" w:val="clear"/>
            <w:tcMar>
              <w:top w:type="dxa" w:w="120"/>
              <w:left w:type="dxa" w:w="160"/>
              <w:bottom w:type="dxa" w:w="120"/>
              <w:right w:type="dxa" w:w="160"/>
            </w:tcMar>
            <w:vAlign w:val="top"/>
          </w:tcPr>
          <w:p>
            <w:pPr>
              <w:spacing w:after="0" w:line="260"/>
            </w:pPr>
          </w:p>
        </w:tc>
        <w:tc>
          <w:tcPr>
            <w:tcW w:type="dxa" w:w="2268"/>
            <w:shd w:fill="FFFFFF" w:color="auto" w:val="clear"/>
            <w:tcMar>
              <w:top w:type="dxa" w:w="120"/>
              <w:left w:type="dxa" w:w="160"/>
              <w:bottom w:type="dxa" w:w="120"/>
              <w:right w:type="dxa" w:w="160"/>
            </w:tcMar>
            <w:vAlign w:val="top"/>
          </w:tcPr>
          <w:p>
            <w:pPr>
              <w:spacing w:after="0" w:line="260"/>
            </w:pPr>
          </w:p>
        </w:tc>
      </w:tr>
    </w:tbl>
    <w:p>
      <w:pPr>
        <w:pStyle w:val="NoteCopy"/>
      </w:pPr>
      <w:r>
        <w:rPr>
          <w:b/>
          <w:bCs/>
          <w:color w:val="70757C"/>
          <w:sz w:val="18"/>
          <w:szCs w:val="18"/>
        </w:rPr>
        <w:t xml:space="preserve">NOTE </w:t>
      </w:r>
      <w:r>
        <w:rPr>
          <w:color w:val="70757C"/>
          <w:sz w:val="18"/>
          <w:szCs w:val="18"/>
        </w:rPr>
        <w:t xml:space="preserve">Three codes have no equivalent in that registry: </w:t>
      </w:r>
      <w:r>
        <w:rPr>
          <w:rFonts w:ascii="Consolas" w:cs="Consolas" w:eastAsia="Consolas" w:hAnsi="Consolas"/>
          <w:color w:val="1A1D21"/>
          <w:sz w:val="15"/>
          <w:szCs w:val="15"/>
          <w:shd w:fill="F2F1ED" w:color="auto" w:val="clear"/>
        </w:rPr>
        <w:t xml:space="preserve">tonRef</w:t>
      </w:r>
      <w:r>
        <w:rPr>
          <w:color w:val="70757C"/>
          <w:sz w:val="18"/>
          <w:szCs w:val="18"/>
        </w:rPr>
        <w:t xml:space="preserve">, </w:t>
      </w:r>
      <w:r>
        <w:rPr>
          <w:rFonts w:ascii="Consolas" w:cs="Consolas" w:eastAsia="Consolas" w:hAnsi="Consolas"/>
          <w:color w:val="1A1D21"/>
          <w:sz w:val="15"/>
          <w:szCs w:val="15"/>
          <w:shd w:fill="F2F1ED" w:color="auto" w:val="clear"/>
        </w:rPr>
        <w:t xml:space="preserve">tonHours</w:t>
      </w:r>
      <w:r>
        <w:rPr>
          <w:color w:val="70757C"/>
          <w:sz w:val="18"/>
          <w:szCs w:val="18"/>
        </w:rPr>
        <w:t xml:space="preserve">, and </w:t>
      </w:r>
      <w:r>
        <w:rPr>
          <w:rFonts w:ascii="Consolas" w:cs="Consolas" w:eastAsia="Consolas" w:hAnsi="Consolas"/>
          <w:color w:val="1A1D21"/>
          <w:sz w:val="15"/>
          <w:szCs w:val="15"/>
          <w:shd w:fill="F2F1ED" w:color="auto" w:val="clear"/>
        </w:rPr>
        <w:t xml:space="preserve">kVAR</w:t>
      </w:r>
      <w:r>
        <w:rPr>
          <w:color w:val="70757C"/>
          <w:sz w:val="18"/>
          <w:szCs w:val="18"/>
        </w:rPr>
        <w:t xml:space="preserve">. All three are in daily use in building operations, which is part of why this document defines its own vocabulary.</w:t>
      </w:r>
    </w:p>
    <w:p>
      <w:r>
        <w:br w:type="page"/>
      </w:r>
    </w:p>
    <w:p>
      <w:pPr>
        <w:pStyle w:val="Heading1"/>
      </w:pPr>
      <w:r>
        <w:rPr>
          <w:rFonts w:ascii="Georgia" w:cs="Georgia" w:eastAsia="Georgia" w:hAnsi="Georgia"/>
          <w:color w:val="8C6D46"/>
        </w:rPr>
        <w:t xml:space="preserve">D</w:t>
      </w:r>
      <w:r>
        <w:t xml:space="preserve">  </w:t>
      </w:r>
      <w:r>
        <w:t xml:space="preserve">Worked example</w:t>
      </w:r>
    </w:p>
    <w:p>
      <w:pPr>
        <w:pStyle w:val="MetaNote"/>
      </w:pPr>
      <w:r>
        <w:t xml:space="preserve">Informative. The package described here is distributed with this draft and validates against the normative schemas.</w:t>
      </w:r>
    </w:p>
    <w:p>
      <w:pPr>
        <w:pStyle w:val="Heading2"/>
      </w:pPr>
      <w:r>
        <w:rPr>
          <w:color w:val="8C6D46"/>
        </w:rPr>
        <w:t xml:space="preserve">D.1</w:t>
      </w:r>
      <w:r>
        <w:t xml:space="preserve">  </w:t>
      </w:r>
      <w:r>
        <w:t xml:space="preserve">The building</w:t>
      </w:r>
    </w:p>
    <w:p>
      <w:pPr>
        <w:pStyle w:val="BodyCopy"/>
      </w:pPr>
      <w:r>
        <w:t xml:space="preserve">Cedar Street Building A is a four-storey office building in Austin, Texas, built in 2009, with variable air volume and hydronic reheat. The example models one air system end to end — an air handling unit, one VAV terminal, the controller hosting their points, the zone they serve, a Level 2 floor plan, and the AHU-1 equipment graphic. It is small enough to read and large enough to exercise every core class.</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2100"/>
        <w:gridCol w:w="1100"/>
        <w:gridCol w:w="5872"/>
      </w:tblGrid>
      <w:tr>
        <w:trPr>
          <w:cantSplit/>
          <w:tblHeader/>
        </w:trPr>
        <w:tc>
          <w:tcPr>
            <w:tcW w:type="dxa" w:w="21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Document</w:t>
            </w:r>
          </w:p>
        </w:tc>
        <w:tc>
          <w:tcPr>
            <w:tcW w:type="dxa" w:w="11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Entities</w:t>
            </w:r>
          </w:p>
        </w:tc>
        <w:tc>
          <w:tcPr>
            <w:tcW w:type="dxa" w:w="58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Contents</w:t>
            </w:r>
          </w:p>
        </w:tc>
      </w:tr>
      <w:tr>
        <w:trPr>
          <w:cantSplit/>
        </w:trPr>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identity.json</w:t>
            </w:r>
          </w:p>
        </w:tc>
        <w:tc>
          <w:tcPr>
            <w:tcW w:type="dxa" w:w="1100"/>
            <w:shd w:fill="FFFFFF" w:color="auto" w:val="clear"/>
            <w:tcMar>
              <w:top w:type="dxa" w:w="120"/>
              <w:left w:type="dxa" w:w="160"/>
              <w:bottom w:type="dxa" w:w="120"/>
              <w:right w:type="dxa" w:w="160"/>
            </w:tcMar>
            <w:vAlign w:val="top"/>
          </w:tcPr>
          <w:p>
            <w:pPr>
              <w:spacing w:after="0" w:line="260"/>
            </w:pPr>
            <w:r>
              <w:rPr>
                <w:sz w:val="18"/>
                <w:szCs w:val="18"/>
              </w:rPr>
              <w:t xml:space="preserve">5</w:t>
            </w:r>
          </w:p>
        </w:tc>
        <w:tc>
          <w:tcPr>
            <w:tcW w:type="dxa" w:w="5872"/>
            <w:shd w:fill="FFFFFF" w:color="auto" w:val="clear"/>
            <w:tcMar>
              <w:top w:type="dxa" w:w="120"/>
              <w:left w:type="dxa" w:w="160"/>
              <w:bottom w:type="dxa" w:w="120"/>
              <w:right w:type="dxa" w:w="160"/>
            </w:tcMar>
            <w:vAlign w:val="top"/>
          </w:tcPr>
          <w:p>
            <w:pPr>
              <w:spacing w:after="0" w:line="260"/>
            </w:pPr>
            <w:r>
              <w:rPr>
                <w:sz w:val="18"/>
                <w:szCs w:val="18"/>
              </w:rPr>
              <w:t xml:space="preserve">Owner, commissioning authority, engineer, vendor, and the building.</w:t>
            </w:r>
          </w:p>
        </w:tc>
      </w:tr>
      <w:tr>
        <w:trPr>
          <w:cantSplit/>
        </w:trPr>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properties.json</w:t>
            </w:r>
          </w:p>
        </w:tc>
        <w:tc>
          <w:tcPr>
            <w:tcW w:type="dxa" w:w="1100"/>
            <w:shd w:fill="FAF9F6" w:color="auto" w:val="clear"/>
            <w:tcMar>
              <w:top w:type="dxa" w:w="120"/>
              <w:left w:type="dxa" w:w="160"/>
              <w:bottom w:type="dxa" w:w="120"/>
              <w:right w:type="dxa" w:w="160"/>
            </w:tcMar>
            <w:vAlign w:val="top"/>
          </w:tcPr>
          <w:p>
            <w:pPr>
              <w:spacing w:after="0" w:line="260"/>
            </w:pPr>
            <w:r>
              <w:rPr>
                <w:sz w:val="18"/>
                <w:szCs w:val="18"/>
              </w:rPr>
              <w:t xml:space="preserve">9</w:t>
            </w:r>
          </w:p>
        </w:tc>
        <w:tc>
          <w:tcPr>
            <w:tcW w:type="dxa" w:w="5872"/>
            <w:shd w:fill="FAF9F6" w:color="auto" w:val="clear"/>
            <w:tcMar>
              <w:top w:type="dxa" w:w="120"/>
              <w:left w:type="dxa" w:w="160"/>
              <w:bottom w:type="dxa" w:w="120"/>
              <w:right w:type="dxa" w:w="160"/>
            </w:tcMar>
            <w:vAlign w:val="top"/>
          </w:tcPr>
          <w:p>
            <w:pPr>
              <w:spacing w:after="0" w:line="260"/>
            </w:pPr>
            <w:r>
              <w:rPr>
                <w:sz w:val="18"/>
                <w:szCs w:val="18"/>
              </w:rPr>
              <w:t xml:space="preserve">Five quantity kinds and four asset property definitions, each with prose meaning.</w:t>
            </w:r>
          </w:p>
        </w:tc>
      </w:tr>
      <w:tr>
        <w:trPr>
          <w:cantSplit/>
        </w:trPr>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spaces.json</w:t>
            </w:r>
          </w:p>
        </w:tc>
        <w:tc>
          <w:tcPr>
            <w:tcW w:type="dxa" w:w="1100"/>
            <w:shd w:fill="FFFFFF" w:color="auto" w:val="clear"/>
            <w:tcMar>
              <w:top w:type="dxa" w:w="120"/>
              <w:left w:type="dxa" w:w="160"/>
              <w:bottom w:type="dxa" w:w="120"/>
              <w:right w:type="dxa" w:w="160"/>
            </w:tcMar>
            <w:vAlign w:val="top"/>
          </w:tcPr>
          <w:p>
            <w:pPr>
              <w:spacing w:after="0" w:line="260"/>
            </w:pPr>
            <w:r>
              <w:rPr>
                <w:sz w:val="18"/>
                <w:szCs w:val="18"/>
              </w:rPr>
              <w:t xml:space="preserve">7</w:t>
            </w:r>
          </w:p>
        </w:tc>
        <w:tc>
          <w:tcPr>
            <w:tcW w:type="dxa" w:w="5872"/>
            <w:shd w:fill="FFFFFF" w:color="auto" w:val="clear"/>
            <w:tcMar>
              <w:top w:type="dxa" w:w="120"/>
              <w:left w:type="dxa" w:w="160"/>
              <w:bottom w:type="dxa" w:w="120"/>
              <w:right w:type="dxa" w:w="160"/>
            </w:tcMar>
            <w:vAlign w:val="top"/>
          </w:tcPr>
          <w:p>
            <w:pPr>
              <w:spacing w:after="0" w:line="260"/>
            </w:pPr>
            <w:r>
              <w:rPr>
                <w:sz w:val="18"/>
                <w:szCs w:val="18"/>
              </w:rPr>
              <w:t xml:space="preserve">Site, two storeys, three spaces, one HVAC zone.</w:t>
            </w:r>
          </w:p>
        </w:tc>
      </w:tr>
      <w:tr>
        <w:trPr>
          <w:cantSplit/>
        </w:trPr>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assets.json</w:t>
            </w:r>
          </w:p>
        </w:tc>
        <w:tc>
          <w:tcPr>
            <w:tcW w:type="dxa" w:w="1100"/>
            <w:shd w:fill="FAF9F6" w:color="auto" w:val="clear"/>
            <w:tcMar>
              <w:top w:type="dxa" w:w="120"/>
              <w:left w:type="dxa" w:w="160"/>
              <w:bottom w:type="dxa" w:w="120"/>
              <w:right w:type="dxa" w:w="160"/>
            </w:tcMar>
            <w:vAlign w:val="top"/>
          </w:tcPr>
          <w:p>
            <w:pPr>
              <w:spacing w:after="0" w:line="260"/>
            </w:pPr>
            <w:r>
              <w:rPr>
                <w:sz w:val="18"/>
                <w:szCs w:val="18"/>
              </w:rPr>
              <w:t xml:space="preserve">6</w:t>
            </w:r>
          </w:p>
        </w:tc>
        <w:tc>
          <w:tcPr>
            <w:tcW w:type="dxa" w:w="5872"/>
            <w:shd w:fill="FAF9F6" w:color="auto" w:val="clear"/>
            <w:tcMar>
              <w:top w:type="dxa" w:w="120"/>
              <w:left w:type="dxa" w:w="160"/>
              <w:bottom w:type="dxa" w:w="120"/>
              <w:right w:type="dxa" w:w="160"/>
            </w:tcMar>
            <w:vAlign w:val="top"/>
          </w:tcPr>
          <w:p>
            <w:pPr>
              <w:spacing w:after="0" w:line="260"/>
            </w:pPr>
            <w:r>
              <w:rPr>
                <w:sz w:val="18"/>
                <w:szCs w:val="18"/>
              </w:rPr>
              <w:t xml:space="preserve">One system, one asset type, four assets across equipment, component and device.</w:t>
            </w:r>
          </w:p>
        </w:tc>
      </w:tr>
      <w:tr>
        <w:trPr>
          <w:cantSplit/>
        </w:trPr>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points.json</w:t>
            </w:r>
          </w:p>
        </w:tc>
        <w:tc>
          <w:tcPr>
            <w:tcW w:type="dxa" w:w="1100"/>
            <w:shd w:fill="FFFFFF" w:color="auto" w:val="clear"/>
            <w:tcMar>
              <w:top w:type="dxa" w:w="120"/>
              <w:left w:type="dxa" w:w="160"/>
              <w:bottom w:type="dxa" w:w="120"/>
              <w:right w:type="dxa" w:w="160"/>
            </w:tcMar>
            <w:vAlign w:val="top"/>
          </w:tcPr>
          <w:p>
            <w:pPr>
              <w:spacing w:after="0" w:line="260"/>
            </w:pPr>
            <w:r>
              <w:rPr>
                <w:sz w:val="18"/>
                <w:szCs w:val="18"/>
              </w:rPr>
              <w:t xml:space="preserve">9</w:t>
            </w:r>
          </w:p>
        </w:tc>
        <w:tc>
          <w:tcPr>
            <w:tcW w:type="dxa" w:w="5872"/>
            <w:shd w:fill="FFFFFF" w:color="auto" w:val="clear"/>
            <w:tcMar>
              <w:top w:type="dxa" w:w="120"/>
              <w:left w:type="dxa" w:w="160"/>
              <w:bottom w:type="dxa" w:w="120"/>
              <w:right w:type="dxa" w:w="160"/>
            </w:tcMar>
            <w:vAlign w:val="top"/>
          </w:tcPr>
          <w:p>
            <w:pPr>
              <w:spacing w:after="0" w:line="260"/>
            </w:pPr>
            <w:r>
              <w:rPr>
                <w:sz w:val="18"/>
                <w:szCs w:val="18"/>
              </w:rPr>
              <w:t xml:space="preserve">Sensors, setpoints, commands, a status enumeration, and a meter.</w:t>
            </w:r>
          </w:p>
        </w:tc>
      </w:tr>
      <w:tr>
        <w:trPr>
          <w:cantSplit/>
        </w:trPr>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relationships.json</w:t>
            </w:r>
          </w:p>
        </w:tc>
        <w:tc>
          <w:tcPr>
            <w:tcW w:type="dxa" w:w="1100"/>
            <w:shd w:fill="FAF9F6" w:color="auto" w:val="clear"/>
            <w:tcMar>
              <w:top w:type="dxa" w:w="120"/>
              <w:left w:type="dxa" w:w="160"/>
              <w:bottom w:type="dxa" w:w="120"/>
              <w:right w:type="dxa" w:w="160"/>
            </w:tcMar>
            <w:vAlign w:val="top"/>
          </w:tcPr>
          <w:p>
            <w:pPr>
              <w:spacing w:after="0" w:line="260"/>
            </w:pPr>
            <w:r>
              <w:rPr>
                <w:sz w:val="18"/>
                <w:szCs w:val="18"/>
              </w:rPr>
              <w:t xml:space="preserve">48</w:t>
            </w:r>
          </w:p>
        </w:tc>
        <w:tc>
          <w:tcPr>
            <w:tcW w:type="dxa" w:w="5872"/>
            <w:shd w:fill="FAF9F6" w:color="auto" w:val="clear"/>
            <w:tcMar>
              <w:top w:type="dxa" w:w="120"/>
              <w:left w:type="dxa" w:w="160"/>
              <w:bottom w:type="dxa" w:w="120"/>
              <w:right w:type="dxa" w:w="160"/>
            </w:tcMar>
            <w:vAlign w:val="top"/>
          </w:tcPr>
          <w:p>
            <w:pPr>
              <w:spacing w:after="0" w:line="260"/>
            </w:pPr>
            <w:r>
              <w:rPr>
                <w:sz w:val="18"/>
                <w:szCs w:val="18"/>
              </w:rPr>
              <w:t xml:space="preserve">Containment, composition, flow with ports, service, power, hosting, measurement, command, control, implementation, knowledge attachment, representation.</w:t>
            </w:r>
          </w:p>
        </w:tc>
      </w:tr>
      <w:tr>
        <w:trPr>
          <w:cantSplit/>
        </w:trPr>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intent.json</w:t>
            </w:r>
          </w:p>
        </w:tc>
        <w:tc>
          <w:tcPr>
            <w:tcW w:type="dxa" w:w="1100"/>
            <w:shd w:fill="FFFFFF" w:color="auto" w:val="clear"/>
            <w:tcMar>
              <w:top w:type="dxa" w:w="120"/>
              <w:left w:type="dxa" w:w="160"/>
              <w:bottom w:type="dxa" w:w="120"/>
              <w:right w:type="dxa" w:w="160"/>
            </w:tcMar>
            <w:vAlign w:val="top"/>
          </w:tcPr>
          <w:p>
            <w:pPr>
              <w:spacing w:after="0" w:line="260"/>
            </w:pPr>
            <w:r>
              <w:rPr>
                <w:sz w:val="18"/>
                <w:szCs w:val="18"/>
              </w:rPr>
              <w:t xml:space="preserve">6</w:t>
            </w:r>
          </w:p>
        </w:tc>
        <w:tc>
          <w:tcPr>
            <w:tcW w:type="dxa" w:w="5872"/>
            <w:shd w:fill="FFFFFF" w:color="auto" w:val="clear"/>
            <w:tcMar>
              <w:top w:type="dxa" w:w="120"/>
              <w:left w:type="dxa" w:w="160"/>
              <w:bottom w:type="dxa" w:w="120"/>
              <w:right w:type="dxa" w:w="160"/>
            </w:tcMar>
            <w:vAlign w:val="top"/>
          </w:tcPr>
          <w:p>
            <w:pPr>
              <w:spacing w:after="0" w:line="260"/>
            </w:pPr>
            <w:r>
              <w:rPr>
                <w:sz w:val="18"/>
                <w:szCs w:val="18"/>
              </w:rPr>
              <w:t xml:space="preserve">An objective, a target, a safety constraint, an interlock constraint, a schedule, a sequence.</w:t>
            </w:r>
          </w:p>
        </w:tc>
      </w:tr>
      <w:tr>
        <w:trPr>
          <w:cantSplit/>
        </w:trPr>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alarms.json</w:t>
            </w:r>
          </w:p>
        </w:tc>
        <w:tc>
          <w:tcPr>
            <w:tcW w:type="dxa" w:w="1100"/>
            <w:shd w:fill="FAF9F6" w:color="auto" w:val="clear"/>
            <w:tcMar>
              <w:top w:type="dxa" w:w="120"/>
              <w:left w:type="dxa" w:w="160"/>
              <w:bottom w:type="dxa" w:w="120"/>
              <w:right w:type="dxa" w:w="160"/>
            </w:tcMar>
            <w:vAlign w:val="top"/>
          </w:tcPr>
          <w:p>
            <w:pPr>
              <w:spacing w:after="0" w:line="260"/>
            </w:pPr>
            <w:r>
              <w:rPr>
                <w:sz w:val="18"/>
                <w:szCs w:val="18"/>
              </w:rPr>
              <w:t xml:space="preserve">1</w:t>
            </w:r>
          </w:p>
        </w:tc>
        <w:tc>
          <w:tcPr>
            <w:tcW w:type="dxa" w:w="5872"/>
            <w:shd w:fill="FAF9F6" w:color="auto" w:val="clear"/>
            <w:tcMar>
              <w:top w:type="dxa" w:w="120"/>
              <w:left w:type="dxa" w:w="160"/>
              <w:bottom w:type="dxa" w:w="120"/>
              <w:right w:type="dxa" w:w="160"/>
            </w:tcMar>
            <w:vAlign w:val="top"/>
          </w:tcPr>
          <w:p>
            <w:pPr>
              <w:spacing w:after="0" w:line="260"/>
            </w:pPr>
            <w:r>
              <w:rPr>
                <w:sz w:val="18"/>
                <w:szCs w:val="18"/>
              </w:rPr>
              <w:t xml:space="preserve">Filter differential pressure, with limits, timing, escalation and routing.</w:t>
            </w:r>
          </w:p>
        </w:tc>
      </w:tr>
      <w:tr>
        <w:trPr>
          <w:cantSplit/>
        </w:trPr>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events.json</w:t>
            </w:r>
          </w:p>
        </w:tc>
        <w:tc>
          <w:tcPr>
            <w:tcW w:type="dxa" w:w="1100"/>
            <w:shd w:fill="FFFFFF" w:color="auto" w:val="clear"/>
            <w:tcMar>
              <w:top w:type="dxa" w:w="120"/>
              <w:left w:type="dxa" w:w="160"/>
              <w:bottom w:type="dxa" w:w="120"/>
              <w:right w:type="dxa" w:w="160"/>
            </w:tcMar>
            <w:vAlign w:val="top"/>
          </w:tcPr>
          <w:p>
            <w:pPr>
              <w:spacing w:after="0" w:line="260"/>
            </w:pPr>
            <w:r>
              <w:rPr>
                <w:sz w:val="18"/>
                <w:szCs w:val="18"/>
              </w:rPr>
              <w:t xml:space="preserve">2</w:t>
            </w:r>
          </w:p>
        </w:tc>
        <w:tc>
          <w:tcPr>
            <w:tcW w:type="dxa" w:w="5872"/>
            <w:shd w:fill="FFFFFF" w:color="auto" w:val="clear"/>
            <w:tcMar>
              <w:top w:type="dxa" w:w="120"/>
              <w:left w:type="dxa" w:w="160"/>
              <w:bottom w:type="dxa" w:w="120"/>
              <w:right w:type="dxa" w:w="160"/>
            </w:tcMar>
            <w:vAlign w:val="top"/>
          </w:tcPr>
          <w:p>
            <w:pPr>
              <w:spacing w:after="0" w:line="260"/>
            </w:pPr>
            <w:r>
              <w:rPr>
                <w:sz w:val="18"/>
                <w:szCs w:val="18"/>
              </w:rPr>
              <w:t xml:space="preserve">A 2026 alarm instance and the 2017 override that is still in place.</w:t>
            </w:r>
          </w:p>
        </w:tc>
      </w:tr>
      <w:tr>
        <w:trPr>
          <w:cantSplit/>
        </w:trPr>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knowledge.json</w:t>
            </w:r>
          </w:p>
        </w:tc>
        <w:tc>
          <w:tcPr>
            <w:tcW w:type="dxa" w:w="1100"/>
            <w:shd w:fill="FAF9F6" w:color="auto" w:val="clear"/>
            <w:tcMar>
              <w:top w:type="dxa" w:w="120"/>
              <w:left w:type="dxa" w:w="160"/>
              <w:bottom w:type="dxa" w:w="120"/>
              <w:right w:type="dxa" w:w="160"/>
            </w:tcMar>
            <w:vAlign w:val="top"/>
          </w:tcPr>
          <w:p>
            <w:pPr>
              <w:spacing w:after="0" w:line="260"/>
            </w:pPr>
            <w:r>
              <w:rPr>
                <w:sz w:val="18"/>
                <w:szCs w:val="18"/>
              </w:rPr>
              <w:t xml:space="preserve">2</w:t>
            </w:r>
          </w:p>
        </w:tc>
        <w:tc>
          <w:tcPr>
            <w:tcW w:type="dxa" w:w="5872"/>
            <w:shd w:fill="FAF9F6" w:color="auto" w:val="clear"/>
            <w:tcMar>
              <w:top w:type="dxa" w:w="120"/>
              <w:left w:type="dxa" w:w="160"/>
              <w:bottom w:type="dxa" w:w="120"/>
              <w:right w:type="dxa" w:w="160"/>
            </w:tcMar>
            <w:vAlign w:val="top"/>
          </w:tcPr>
          <w:p>
            <w:pPr>
              <w:spacing w:after="0" w:line="260"/>
            </w:pPr>
            <w:r>
              <w:rPr>
                <w:sz w:val="18"/>
                <w:szCs w:val="18"/>
              </w:rPr>
              <w:t xml:space="preserve">Two field notes that exist nowhere else.</w:t>
            </w:r>
          </w:p>
        </w:tc>
      </w:tr>
      <w:tr>
        <w:trPr>
          <w:cantSplit/>
        </w:trPr>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resources.json</w:t>
            </w:r>
          </w:p>
        </w:tc>
        <w:tc>
          <w:tcPr>
            <w:tcW w:type="dxa" w:w="1100"/>
            <w:shd w:fill="FFFFFF" w:color="auto" w:val="clear"/>
            <w:tcMar>
              <w:top w:type="dxa" w:w="120"/>
              <w:left w:type="dxa" w:w="160"/>
              <w:bottom w:type="dxa" w:w="120"/>
              <w:right w:type="dxa" w:w="160"/>
            </w:tcMar>
            <w:vAlign w:val="top"/>
          </w:tcPr>
          <w:p>
            <w:pPr>
              <w:spacing w:after="0" w:line="260"/>
            </w:pPr>
            <w:r>
              <w:rPr>
                <w:sz w:val="18"/>
                <w:szCs w:val="18"/>
              </w:rPr>
              <w:t xml:space="preserve">2</w:t>
            </w:r>
          </w:p>
        </w:tc>
        <w:tc>
          <w:tcPr>
            <w:tcW w:type="dxa" w:w="5872"/>
            <w:shd w:fill="FFFFFF" w:color="auto" w:val="clear"/>
            <w:tcMar>
              <w:top w:type="dxa" w:w="120"/>
              <w:left w:type="dxa" w:w="160"/>
              <w:bottom w:type="dxa" w:w="120"/>
              <w:right w:type="dxa" w:w="160"/>
            </w:tcMar>
            <w:vAlign w:val="top"/>
          </w:tcPr>
          <w:p>
            <w:pPr>
              <w:spacing w:after="0" w:line="260"/>
            </w:pPr>
            <w:r>
              <w:rPr>
                <w:sz w:val="18"/>
                <w:szCs w:val="18"/>
              </w:rPr>
              <w:t xml:space="preserve">A sequence of operation and an operations manual, both included.</w:t>
            </w:r>
          </w:p>
        </w:tc>
      </w:tr>
      <w:tr>
        <w:trPr>
          <w:cantSplit/>
        </w:trPr>
        <w:tc>
          <w:tcPr>
            <w:tcW w:type="dxa" w:w="21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presentation.json</w:t>
            </w:r>
          </w:p>
        </w:tc>
        <w:tc>
          <w:tcPr>
            <w:tcW w:type="dxa" w:w="1100"/>
            <w:shd w:fill="FAF9F6" w:color="auto" w:val="clear"/>
            <w:tcMar>
              <w:top w:type="dxa" w:w="120"/>
              <w:left w:type="dxa" w:w="160"/>
              <w:bottom w:type="dxa" w:w="120"/>
              <w:right w:type="dxa" w:w="160"/>
            </w:tcMar>
            <w:vAlign w:val="top"/>
          </w:tcPr>
          <w:p>
            <w:pPr>
              <w:spacing w:after="0" w:line="260"/>
            </w:pPr>
            <w:r>
              <w:rPr>
                <w:sz w:val="18"/>
                <w:szCs w:val="18"/>
              </w:rPr>
              <w:t xml:space="preserve">38</w:t>
            </w:r>
          </w:p>
        </w:tc>
        <w:tc>
          <w:tcPr>
            <w:tcW w:type="dxa" w:w="5872"/>
            <w:shd w:fill="FAF9F6" w:color="auto" w:val="clear"/>
            <w:tcMar>
              <w:top w:type="dxa" w:w="120"/>
              <w:left w:type="dxa" w:w="160"/>
              <w:bottom w:type="dxa" w:w="120"/>
              <w:right w:type="dxa" w:w="160"/>
            </w:tcMar>
            <w:vAlign w:val="top"/>
          </w:tcPr>
          <w:p>
            <w:pPr>
              <w:spacing w:after="0" w:line="260"/>
            </w:pPr>
            <w:r>
              <w:rPr>
                <w:sz w:val="18"/>
                <w:szCs w:val="18"/>
              </w:rPr>
              <w:t xml:space="preserve">Two drawings, eight layers, seventeen elements, eleven bindings of which two are writes.</w:t>
            </w:r>
          </w:p>
        </w:tc>
      </w:tr>
      <w:tr>
        <w:trPr>
          <w:cantSplit/>
        </w:trPr>
        <w:tc>
          <w:tcPr>
            <w:tcW w:type="dxa" w:w="21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provenance.json</w:t>
            </w:r>
          </w:p>
        </w:tc>
        <w:tc>
          <w:tcPr>
            <w:tcW w:type="dxa" w:w="1100"/>
            <w:shd w:fill="FFFFFF" w:color="auto" w:val="clear"/>
            <w:tcMar>
              <w:top w:type="dxa" w:w="120"/>
              <w:left w:type="dxa" w:w="160"/>
              <w:bottom w:type="dxa" w:w="120"/>
              <w:right w:type="dxa" w:w="160"/>
            </w:tcMar>
            <w:vAlign w:val="top"/>
          </w:tcPr>
          <w:p>
            <w:pPr>
              <w:spacing w:after="0" w:line="260"/>
            </w:pPr>
            <w:r>
              <w:rPr>
                <w:sz w:val="18"/>
                <w:szCs w:val="18"/>
              </w:rPr>
              <w:t xml:space="preserve">2</w:t>
            </w:r>
          </w:p>
        </w:tc>
        <w:tc>
          <w:tcPr>
            <w:tcW w:type="dxa" w:w="5872"/>
            <w:shd w:fill="FFFFFF" w:color="auto" w:val="clear"/>
            <w:tcMar>
              <w:top w:type="dxa" w:w="120"/>
              <w:left w:type="dxa" w:w="160"/>
              <w:bottom w:type="dxa" w:w="120"/>
              <w:right w:type="dxa" w:w="160"/>
            </w:tcMar>
            <w:vAlign w:val="top"/>
          </w:tcPr>
          <w:p>
            <w:pPr>
              <w:spacing w:after="0" w:line="260"/>
            </w:pPr>
            <w:r>
              <w:rPr>
                <w:sz w:val="18"/>
                <w:szCs w:val="18"/>
              </w:rPr>
              <w:t xml:space="preserve">Change records for the 2017 economizer modification and the 2019 rebalance.</w:t>
            </w:r>
          </w:p>
        </w:tc>
      </w:tr>
    </w:tbl>
    <w:p>
      <w:pPr>
        <w:pStyle w:val="BodyCopy"/>
      </w:pPr>
      <w:r>
        <w:t xml:space="preserve">The package declares profile </w:t>
      </w:r>
      <w:r>
        <w:rPr>
          <w:rFonts w:ascii="Consolas" w:cs="Consolas" w:eastAsia="Consolas" w:hAnsi="Consolas"/>
          <w:color w:val="1A1D21"/>
          <w:sz w:val="18"/>
          <w:szCs w:val="18"/>
          <w:shd w:fill="F2F1ED" w:color="auto" w:val="clear"/>
        </w:rPr>
        <w:t xml:space="preserve">core-intent</w:t>
      </w:r>
      <w:r>
        <w:t xml:space="preserve"> and declares five domains as less than complete, including </w:t>
      </w:r>
      <w:r>
        <w:rPr>
          <w:rFonts w:ascii="Consolas" w:cs="Consolas" w:eastAsia="Consolas" w:hAnsi="Consolas"/>
          <w:color w:val="1A1D21"/>
          <w:sz w:val="18"/>
          <w:szCs w:val="18"/>
          <w:shd w:fill="F2F1ED" w:color="auto" w:val="clear"/>
        </w:rPr>
        <w:t xml:space="preserve">representation</w:t>
      </w:r>
      <w:r>
        <w:t xml:space="preserve"> as partial because the source system can export two drawings and not the rest.</w:t>
      </w:r>
    </w:p>
    <w:p>
      <w:pPr>
        <w:pStyle w:val="Heading2"/>
      </w:pPr>
      <w:r>
        <w:rPr>
          <w:color w:val="8C6D46"/>
        </w:rPr>
        <w:t xml:space="preserve">D.2</w:t>
      </w:r>
      <w:r>
        <w:t xml:space="preserve">  </w:t>
      </w:r>
      <w:r>
        <w:t xml:space="preserve">What the example demonstrates</w:t>
      </w:r>
    </w:p>
    <w:p>
      <w:pPr>
        <w:pStyle w:val="BulletCopy"/>
        <w:numPr>
          <w:ilvl w:val="0"/>
          <w:numId w:val="2"/>
        </w:numPr>
      </w:pPr>
      <w:r>
        <w:rPr>
          <w:b/>
          <w:bCs/>
          <w:color w:val="1A1D21"/>
        </w:rPr>
        <w:t xml:space="preserve">The bound graphic</w:t>
      </w:r>
      <w:r>
        <w:t xml:space="preserve"> — </w:t>
      </w:r>
      <w:r>
        <w:t xml:space="preserve">the AHU-1 drawing carries a fan, coil, filter, damper and sensor as symbol roles, a bespoke nameplate in figure mode, and eleven bindings including a supply-air setpoint write at priority 10 referencing the safety constraint, and a fan command write at priority 8 referencing the fire interlock. The floor plan carries a georeferenced coordinate system and a space boundary polygon bound to zone temperature for color.</w:t>
      </w:r>
    </w:p>
    <w:p>
      <w:pPr>
        <w:pStyle w:val="BulletCopy"/>
        <w:numPr>
          <w:ilvl w:val="0"/>
          <w:numId w:val="2"/>
        </w:numPr>
      </w:pPr>
      <w:r>
        <w:rPr>
          <w:b/>
          <w:bCs/>
          <w:color w:val="1A1D21"/>
        </w:rPr>
        <w:t xml:space="preserve">The knowledge notes</w:t>
      </w:r>
      <w:r>
        <w:t xml:space="preserve"> — </w:t>
      </w:r>
      <w:r>
        <w:t xml:space="preserve">a damper linkage that binds between 18 and 24 percent, and a VAV box rebalanced in 2019 whose record drawings were never revised. Neither exists in any drawing, database field, or tag, and both are what disappears when an engineer retires.</w:t>
      </w:r>
    </w:p>
    <w:p>
      <w:pPr>
        <w:pStyle w:val="BulletCopy"/>
        <w:numPr>
          <w:ilvl w:val="0"/>
          <w:numId w:val="2"/>
        </w:numPr>
      </w:pPr>
      <w:r>
        <w:rPr>
          <w:b/>
          <w:bCs/>
          <w:color w:val="1A1D21"/>
        </w:rPr>
        <w:t xml:space="preserve">The 2017 override event</w:t>
      </w:r>
      <w:r>
        <w:t xml:space="preserve"> — </w:t>
      </w:r>
      <w:r>
        <w:t xml:space="preserve">still in place nine years later, linked to the knowledge note that explains it. This is the sentence the event model exists to carry.</w:t>
      </w:r>
    </w:p>
    <w:p>
      <w:pPr>
        <w:pStyle w:val="BulletCopy"/>
        <w:numPr>
          <w:ilvl w:val="0"/>
          <w:numId w:val="2"/>
        </w:numPr>
      </w:pPr>
      <w:r>
        <w:rPr>
          <w:b/>
          <w:bCs/>
          <w:color w:val="1A1D21"/>
        </w:rPr>
        <w:t xml:space="preserve">The completeness declaration</w:t>
      </w:r>
      <w:r>
        <w:t xml:space="preserve"> — </w:t>
      </w:r>
      <w:r>
        <w:t xml:space="preserve">five domains declared less than complete. An example in which everything is complete would teach implementers the wrong lesson, because no real export is complete.</w:t>
      </w:r>
    </w:p>
    <w:p>
      <w:pPr>
        <w:pStyle w:val="Heading2"/>
      </w:pPr>
      <w:r>
        <w:rPr>
          <w:color w:val="8C6D46"/>
        </w:rPr>
        <w:t xml:space="preserve">D.3</w:t>
      </w:r>
      <w:r>
        <w:t xml:space="preserve">  </w:t>
      </w:r>
      <w:r>
        <w:t xml:space="preserve">Validation</w:t>
      </w:r>
    </w:p>
    <w:p>
      <w:pPr>
        <w:pStyle w:val="BodyCopy"/>
      </w:pPr>
      <w:r>
        <w:t xml:space="preserve">The distributed example is accompanied by a validator running the structural checks of Annex A group PK: schema validation of the manifest and all thirteen documents, digest and byte-length verification, entity counts, identifier uniqueness, referential closure across relationships and every typed reference, declaration of all twelve substrate domains, property definition coverage and datatype agreement, point consistency, presentation referential integrity, binding channel and write-block validity, priority within the target’s priority model, membership of every unit code and display unit code in the Annex C vocabulary, and accuracy of the actuation declaration. The example passes 751 such checks.</w:t>
      </w:r>
    </w:p>
    <w:p>
      <w:pPr>
        <w:pStyle w:val="NoteCopy"/>
      </w:pPr>
      <w:r>
        <w:rPr>
          <w:b/>
          <w:bCs/>
          <w:color w:val="70757C"/>
          <w:sz w:val="18"/>
          <w:szCs w:val="18"/>
        </w:rPr>
        <w:t xml:space="preserve">NOTE </w:t>
      </w:r>
      <w:r>
        <w:rPr>
          <w:color w:val="70757C"/>
          <w:sz w:val="18"/>
          <w:szCs w:val="18"/>
        </w:rPr>
        <w:t xml:space="preserve">The validator tests a package, which is one of four targets. The round-trip tests that carry the reconstruction guarantee require two implementations and cannot be run against a file.</w:t>
      </w:r>
    </w:p>
    <w:p>
      <w:r>
        <w:br w:type="page"/>
      </w:r>
    </w:p>
    <w:p>
      <w:pPr>
        <w:pStyle w:val="Heading1"/>
      </w:pPr>
      <w:r>
        <w:rPr>
          <w:rFonts w:ascii="Georgia" w:cs="Georgia" w:eastAsia="Georgia" w:hAnsi="Georgia"/>
          <w:color w:val="8C6D46"/>
        </w:rPr>
        <w:t xml:space="preserve">E</w:t>
      </w:r>
      <w:r>
        <w:t xml:space="preserve">  </w:t>
      </w:r>
      <w:r>
        <w:t xml:space="preserve">Schema files</w:t>
      </w:r>
    </w:p>
    <w:p>
      <w:pPr>
        <w:pStyle w:val="MetaNote"/>
      </w:pPr>
      <w:r>
        <w:t xml:space="preserve">Informative. The schema files themselves are normative for the JSON binding, per 17.4.</w:t>
      </w:r>
    </w:p>
    <w:tbl>
      <w:tblPr>
        <w:tblW w:type="dxa" w:w="9072"/>
        <w:tblBorders>
          <w:top w:val="none" w:color="FFFFFF" w:sz="0"/>
          <w:left w:val="none" w:color="FFFFFF" w:sz="0"/>
          <w:bottom w:val="single" w:color="D9D4C9" w:sz="4"/>
          <w:right w:val="none" w:color="FFFFFF" w:sz="0"/>
          <w:insideH w:val="single" w:color="D9D4C9" w:sz="2"/>
          <w:insideV w:val="none" w:color="FFFFFF" w:sz="0"/>
        </w:tblBorders>
        <w:tblLayout w:type="fixed"/>
      </w:tblPr>
      <w:tblGrid>
        <w:gridCol w:w="2600"/>
        <w:gridCol w:w="6472"/>
      </w:tblGrid>
      <w:tr>
        <w:trPr>
          <w:cantSplit/>
          <w:tblHeader/>
        </w:trPr>
        <w:tc>
          <w:tcPr>
            <w:tcW w:type="dxa" w:w="2600"/>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File</w:t>
            </w:r>
          </w:p>
        </w:tc>
        <w:tc>
          <w:tcPr>
            <w:tcW w:type="dxa" w:w="6472"/>
            <w:shd w:fill="17191D" w:color="auto" w:val="clear"/>
            <w:tcMar>
              <w:top w:type="dxa" w:w="120"/>
              <w:left w:type="dxa" w:w="160"/>
              <w:bottom w:type="dxa" w:w="120"/>
              <w:right w:type="dxa" w:w="160"/>
            </w:tcMar>
            <w:vAlign w:val="center"/>
          </w:tcPr>
          <w:p>
            <w:pPr>
              <w:spacing w:after="0"/>
            </w:pPr>
            <w:r>
              <w:rPr>
                <w:rFonts w:ascii="Calibri" w:cs="Calibri" w:eastAsia="Calibri" w:hAnsi="Calibri"/>
                <w:b/>
                <w:bCs/>
                <w:color w:val="FFFFFF"/>
                <w:spacing w:val="20"/>
                <w:sz w:val="16"/>
                <w:szCs w:val="16"/>
              </w:rPr>
              <w:t xml:space="preserve">Contents</w:t>
            </w:r>
          </w:p>
        </w:tc>
      </w:tr>
      <w:tr>
        <w:trPr>
          <w:cantSplit/>
        </w:trPr>
        <w:tc>
          <w:tcPr>
            <w:tcW w:type="dxa" w:w="26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bus-core.schema.json</w:t>
            </w:r>
          </w:p>
        </w:tc>
        <w:tc>
          <w:tcPr>
            <w:tcW w:type="dxa" w:w="6472"/>
            <w:shd w:fill="FFFFFF" w:color="auto" w:val="clear"/>
            <w:tcMar>
              <w:top w:type="dxa" w:w="120"/>
              <w:left w:type="dxa" w:w="160"/>
              <w:bottom w:type="dxa" w:w="120"/>
              <w:right w:type="dxa" w:w="160"/>
            </w:tcMar>
            <w:vAlign w:val="top"/>
          </w:tcPr>
          <w:p>
            <w:pPr>
              <w:spacing w:after="0" w:line="260"/>
            </w:pPr>
            <w:r>
              <w:rPr>
                <w:sz w:val="18"/>
                <w:szCs w:val="18"/>
              </w:rPr>
              <w:t xml:space="preserve">Datatypes, entity base, versioning, property definitions, party, spaces, assets, points, relationships, intent, alarms, events, knowledge, resources, and the full presentation model.</w:t>
            </w:r>
          </w:p>
        </w:tc>
      </w:tr>
      <w:tr>
        <w:trPr>
          <w:cantSplit/>
        </w:trPr>
        <w:tc>
          <w:tcPr>
            <w:tcW w:type="dxa" w:w="26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bus-document.schema.json</w:t>
            </w:r>
          </w:p>
        </w:tc>
        <w:tc>
          <w:tcPr>
            <w:tcW w:type="dxa" w:w="6472"/>
            <w:shd w:fill="FAF9F6" w:color="auto" w:val="clear"/>
            <w:tcMar>
              <w:top w:type="dxa" w:w="120"/>
              <w:left w:type="dxa" w:w="160"/>
              <w:bottom w:type="dxa" w:w="120"/>
              <w:right w:type="dxa" w:w="160"/>
            </w:tcMar>
            <w:vAlign w:val="top"/>
          </w:tcPr>
          <w:p>
            <w:pPr>
              <w:spacing w:after="0" w:line="260"/>
            </w:pPr>
            <w:r>
              <w:rPr>
                <w:sz w:val="18"/>
                <w:szCs w:val="18"/>
              </w:rPr>
              <w:t xml:space="preserve">The document envelope with per-</w:t>
            </w:r>
            <w:r>
              <w:rPr>
                <w:rFonts w:ascii="Consolas" w:cs="Consolas" w:eastAsia="Consolas" w:hAnsi="Consolas"/>
                <w:color w:val="1A1D21"/>
                <w:sz w:val="15"/>
                <w:szCs w:val="15"/>
                <w:shd w:fill="F2F1ED" w:color="auto" w:val="clear"/>
              </w:rPr>
              <w:t xml:space="preserve">documentType</w:t>
            </w:r>
            <w:r>
              <w:rPr>
                <w:sz w:val="18"/>
                <w:szCs w:val="18"/>
              </w:rPr>
              <w:t xml:space="preserve"> class constraints, across fifteen document types.</w:t>
            </w:r>
          </w:p>
        </w:tc>
      </w:tr>
      <w:tr>
        <w:trPr>
          <w:cantSplit/>
        </w:trPr>
        <w:tc>
          <w:tcPr>
            <w:tcW w:type="dxa" w:w="26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bus-manifest.schema.json</w:t>
            </w:r>
          </w:p>
        </w:tc>
        <w:tc>
          <w:tcPr>
            <w:tcW w:type="dxa" w:w="6472"/>
            <w:shd w:fill="FFFFFF" w:color="auto" w:val="clear"/>
            <w:tcMar>
              <w:top w:type="dxa" w:w="120"/>
              <w:left w:type="dxa" w:w="160"/>
              <w:bottom w:type="dxa" w:w="120"/>
              <w:right w:type="dxa" w:w="160"/>
            </w:tcMar>
            <w:vAlign w:val="top"/>
          </w:tcPr>
          <w:p>
            <w:pPr>
              <w:spacing w:after="0" w:line="260"/>
            </w:pPr>
            <w:r>
              <w:rPr>
                <w:sz w:val="18"/>
                <w:szCs w:val="18"/>
              </w:rPr>
              <w:t xml:space="preserve">The manifest, including completeness across twelve domains, the actuation declaration, extension and dictionary declarations.</w:t>
            </w:r>
          </w:p>
        </w:tc>
      </w:tr>
      <w:tr>
        <w:trPr>
          <w:cantSplit/>
        </w:trPr>
        <w:tc>
          <w:tcPr>
            <w:tcW w:type="dxa" w:w="26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bus-symbol-roles.json</w:t>
            </w:r>
          </w:p>
        </w:tc>
        <w:tc>
          <w:tcPr>
            <w:tcW w:type="dxa" w:w="6472"/>
            <w:shd w:fill="FAF9F6" w:color="auto" w:val="clear"/>
            <w:tcMar>
              <w:top w:type="dxa" w:w="120"/>
              <w:left w:type="dxa" w:w="160"/>
              <w:bottom w:type="dxa" w:w="120"/>
              <w:right w:type="dxa" w:w="160"/>
            </w:tcMar>
            <w:vAlign w:val="top"/>
          </w:tcPr>
          <w:p>
            <w:pPr>
              <w:spacing w:after="0" w:line="260"/>
            </w:pPr>
            <w:r>
              <w:rPr>
                <w:sz w:val="18"/>
                <w:szCs w:val="18"/>
              </w:rPr>
              <w:t xml:space="preserve">Machine-readable form of Annex B. Fifty-two roots and seventy-five leaves.</w:t>
            </w:r>
          </w:p>
        </w:tc>
      </w:tr>
      <w:tr>
        <w:trPr>
          <w:cantSplit/>
        </w:trPr>
        <w:tc>
          <w:tcPr>
            <w:tcW w:type="dxa" w:w="2600"/>
            <w:shd w:fill="FFFFFF"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bus-units.json</w:t>
            </w:r>
          </w:p>
        </w:tc>
        <w:tc>
          <w:tcPr>
            <w:tcW w:type="dxa" w:w="6472"/>
            <w:shd w:fill="FFFFFF" w:color="auto" w:val="clear"/>
            <w:tcMar>
              <w:top w:type="dxa" w:w="120"/>
              <w:left w:type="dxa" w:w="160"/>
              <w:bottom w:type="dxa" w:w="120"/>
              <w:right w:type="dxa" w:w="160"/>
            </w:tcMar>
            <w:vAlign w:val="top"/>
          </w:tcPr>
          <w:p>
            <w:pPr>
              <w:spacing w:after="0" w:line="260"/>
            </w:pPr>
            <w:r>
              <w:rPr>
                <w:sz w:val="18"/>
                <w:szCs w:val="18"/>
              </w:rPr>
              <w:t xml:space="preserve">Machine-readable form of Annex C, including the informative mapping of C.3.</w:t>
            </w:r>
          </w:p>
        </w:tc>
      </w:tr>
      <w:tr>
        <w:trPr>
          <w:cantSplit/>
        </w:trPr>
        <w:tc>
          <w:tcPr>
            <w:tcW w:type="dxa" w:w="2600"/>
            <w:shd w:fill="FAF9F6" w:color="auto" w:val="clear"/>
            <w:tcMar>
              <w:top w:type="dxa" w:w="120"/>
              <w:left w:type="dxa" w:w="160"/>
              <w:bottom w:type="dxa" w:w="120"/>
              <w:right w:type="dxa" w:w="160"/>
            </w:tcMar>
            <w:vAlign w:val="top"/>
          </w:tcPr>
          <w:p>
            <w:pPr>
              <w:spacing w:after="0" w:line="260"/>
            </w:pPr>
            <w:r>
              <w:rPr>
                <w:rFonts w:ascii="Consolas" w:cs="Consolas" w:eastAsia="Consolas" w:hAnsi="Consolas"/>
                <w:color w:val="1A1D21"/>
                <w:sz w:val="15"/>
                <w:szCs w:val="15"/>
                <w:shd w:fill="F2F1ED" w:color="auto" w:val="clear"/>
              </w:rPr>
              <w:t xml:space="preserve">bus-conformance-tests.json</w:t>
            </w:r>
          </w:p>
        </w:tc>
        <w:tc>
          <w:tcPr>
            <w:tcW w:type="dxa" w:w="6472"/>
            <w:shd w:fill="FAF9F6" w:color="auto" w:val="clear"/>
            <w:tcMar>
              <w:top w:type="dxa" w:w="120"/>
              <w:left w:type="dxa" w:w="160"/>
              <w:bottom w:type="dxa" w:w="120"/>
              <w:right w:type="dxa" w:w="160"/>
            </w:tcMar>
            <w:vAlign w:val="top"/>
          </w:tcPr>
          <w:p>
            <w:pPr>
              <w:spacing w:after="0" w:line="260"/>
            </w:pPr>
            <w:r>
              <w:rPr>
                <w:sz w:val="18"/>
                <w:szCs w:val="18"/>
              </w:rPr>
              <w:t xml:space="preserve">Machine-readable form of Annex A. Fifty-six tests across four groups.</w:t>
            </w:r>
          </w:p>
        </w:tc>
      </w:tr>
    </w:tbl>
    <w:p>
      <w:pPr>
        <w:pStyle w:val="BodyCopy"/>
      </w:pPr>
      <w:r>
        <w:t xml:space="preserve">All three schema documents use the [JSONSCHEMA] 2020-12 dialect and resolve cross-references by </w:t>
      </w:r>
      <w:r>
        <w:rPr>
          <w:rFonts w:ascii="Consolas" w:cs="Consolas" w:eastAsia="Consolas" w:hAnsi="Consolas"/>
          <w:color w:val="1A1D21"/>
          <w:sz w:val="18"/>
          <w:szCs w:val="18"/>
          <w:shd w:fill="F2F1ED" w:color="auto" w:val="clear"/>
        </w:rPr>
        <w:t xml:space="preserve">$id</w:t>
      </w:r>
      <w:r>
        <w:t xml:space="preserve">. A validator </w:t>
      </w:r>
      <w:r>
        <w:rPr>
          <w:b/>
          <w:bCs/>
          <w:color w:val="8C6D46"/>
        </w:rPr>
        <w:t xml:space="preserve">MUST</w:t>
      </w:r>
      <w:r>
        <w:t xml:space="preserve"> be configured with all three as a resource registry; they are not self-contained individually.</w:t>
      </w:r>
    </w:p>
    <w:p>
      <w:pPr>
        <w:pStyle w:val="NoteCopy"/>
      </w:pPr>
      <w:r>
        <w:rPr>
          <w:b/>
          <w:bCs/>
          <w:color w:val="70757C"/>
          <w:sz w:val="18"/>
          <w:szCs w:val="18"/>
        </w:rPr>
        <w:t xml:space="preserve">NOTE </w:t>
      </w:r>
      <w:r>
        <w:rPr>
          <w:color w:val="70757C"/>
          <w:sz w:val="18"/>
          <w:szCs w:val="18"/>
        </w:rPr>
        <w:t xml:space="preserve">The </w:t>
      </w:r>
      <w:r>
        <w:rPr>
          <w:rFonts w:ascii="Consolas" w:cs="Consolas" w:eastAsia="Consolas" w:hAnsi="Consolas"/>
          <w:color w:val="1A1D21"/>
          <w:sz w:val="15"/>
          <w:szCs w:val="15"/>
          <w:shd w:fill="F2F1ED" w:color="auto" w:val="clear"/>
        </w:rPr>
        <w:t xml:space="preserve">$id</w:t>
      </w:r>
      <w:r>
        <w:rPr>
          <w:color w:val="70757C"/>
          <w:sz w:val="18"/>
          <w:szCs w:val="18"/>
        </w:rPr>
        <w:t xml:space="preserve"> values resolve to a placeholder authority and will be reassigned when a governance body exists. Implementations </w:t>
      </w:r>
      <w:r>
        <w:rPr>
          <w:b/>
          <w:bCs/>
          <w:color w:val="70757C"/>
          <w:sz w:val="18"/>
          <w:szCs w:val="18"/>
        </w:rPr>
        <w:t xml:space="preserve">MUST</w:t>
      </w:r>
      <w:r>
        <w:rPr>
          <w:color w:val="70757C"/>
          <w:sz w:val="18"/>
          <w:szCs w:val="18"/>
        </w:rPr>
        <w:t xml:space="preserve"> treat them as opaque and </w:t>
      </w:r>
      <w:r>
        <w:rPr>
          <w:b/>
          <w:bCs/>
          <w:color w:val="70757C"/>
          <w:sz w:val="18"/>
          <w:szCs w:val="18"/>
        </w:rPr>
        <w:t xml:space="preserve">MUST NOT</w:t>
      </w:r>
      <w:r>
        <w:rPr>
          <w:color w:val="70757C"/>
          <w:sz w:val="18"/>
          <w:szCs w:val="18"/>
        </w:rPr>
        <w:t xml:space="preserve"> fetch them at validation time.</w:t>
      </w:r>
    </w:p>
    <w:p>
      <w:r>
        <w:br w:type="page"/>
      </w:r>
    </w:p>
    <w:p>
      <w:pPr>
        <w:pStyle w:val="Heading1"/>
      </w:pPr>
      <w:r>
        <w:rPr>
          <w:rFonts w:ascii="Georgia" w:cs="Georgia" w:eastAsia="Georgia" w:hAnsi="Georgia"/>
          <w:color w:val="8C6D46"/>
        </w:rPr>
        <w:t xml:space="preserve">F</w:t>
      </w:r>
      <w:r>
        <w:t xml:space="preserve">  </w:t>
      </w:r>
      <w:r>
        <w:t xml:space="preserve">Open issues for version 0.3</w:t>
      </w:r>
    </w:p>
    <w:p>
      <w:pPr>
        <w:pStyle w:val="MetaNote"/>
      </w:pPr>
      <w:r>
        <w:t xml:space="preserve">Informative. Recorded so review can be directed where it is wanted. The companion Decision Record gives the reasoning behind each.</w:t>
      </w:r>
    </w:p>
    <w:p>
      <w:pPr>
        <w:pStyle w:val="Heading2"/>
      </w:pPr>
      <w:r>
        <w:rPr>
          <w:color w:val="8C6D46"/>
        </w:rPr>
        <w:t xml:space="preserve">F.1</w:t>
      </w:r>
      <w:r>
        <w:t xml:space="preserve">  </w:t>
      </w:r>
      <w:r>
        <w:t xml:space="preserve">Known gaps</w:t>
      </w:r>
    </w:p>
    <w:p>
      <w:pPr>
        <w:pStyle w:val="BulletCopy"/>
        <w:numPr>
          <w:ilvl w:val="0"/>
          <w:numId w:val="2"/>
        </w:numPr>
      </w:pPr>
      <w:r>
        <w:rPr>
          <w:b/>
          <w:bCs/>
          <w:color w:val="1A1D21"/>
        </w:rPr>
        <w:t xml:space="preserve">Ports and connection points</w:t>
      </w:r>
      <w:r>
        <w:t xml:space="preserve"> — </w:t>
      </w:r>
      <w:r>
        <w:t xml:space="preserve">the largest remaining expressiveness gap. </w:t>
      </w:r>
      <w:r>
        <w:rPr>
          <w:rFonts w:ascii="Consolas" w:cs="Consolas" w:eastAsia="Consolas" w:hAnsi="Consolas"/>
          <w:color w:val="1A1D21"/>
          <w:sz w:val="18"/>
          <w:szCs w:val="18"/>
          <w:shd w:fill="F2F1ED" w:color="auto" w:val="clear"/>
        </w:rPr>
        <w:t xml:space="preserve">subjectPort</w:t>
      </w:r>
      <w:r>
        <w:t xml:space="preserve"> and </w:t>
      </w:r>
      <w:r>
        <w:rPr>
          <w:rFonts w:ascii="Consolas" w:cs="Consolas" w:eastAsia="Consolas" w:hAnsi="Consolas"/>
          <w:color w:val="1A1D21"/>
          <w:sz w:val="18"/>
          <w:szCs w:val="18"/>
          <w:shd w:fill="F2F1ED" w:color="auto" w:val="clear"/>
        </w:rPr>
        <w:t xml:space="preserve">objectPort</w:t>
      </w:r>
      <w:r>
        <w:t xml:space="preserve"> are free strings. Without a model it is impossible to say which branch, which side of a valve, or that a coil has a supply and a return. Should be decided against a real hydronic plant.</w:t>
      </w:r>
    </w:p>
    <w:p>
      <w:pPr>
        <w:pStyle w:val="BulletCopy"/>
        <w:numPr>
          <w:ilvl w:val="0"/>
          <w:numId w:val="2"/>
        </w:numPr>
      </w:pPr>
      <w:r>
        <w:rPr>
          <w:b/>
          <w:bCs/>
          <w:color w:val="1A1D21"/>
        </w:rPr>
        <w:t xml:space="preserve">Networks and drivers</w:t>
      </w:r>
      <w:r>
        <w:t xml:space="preserve"> — </w:t>
      </w:r>
      <w:r>
        <w:rPr>
          <w:rFonts w:ascii="Consolas" w:cs="Consolas" w:eastAsia="Consolas" w:hAnsi="Consolas"/>
          <w:color w:val="1A1D21"/>
          <w:sz w:val="18"/>
          <w:szCs w:val="18"/>
          <w:shd w:fill="F2F1ED" w:color="auto" w:val="clear"/>
        </w:rPr>
        <w:t xml:space="preserve">binding.network</w:t>
      </w:r>
      <w:r>
        <w:t xml:space="preserve"> is a free string. Integration and driver configuration appears in this document’s own gap table (20.3) as something no standard carries — and this one does not carry it either.</w:t>
      </w:r>
    </w:p>
    <w:p>
      <w:pPr>
        <w:pStyle w:val="BulletCopy"/>
        <w:numPr>
          <w:ilvl w:val="0"/>
          <w:numId w:val="2"/>
        </w:numPr>
      </w:pPr>
      <w:r>
        <w:rPr>
          <w:b/>
          <w:bCs/>
          <w:color w:val="1A1D21"/>
        </w:rPr>
        <w:t xml:space="preserve">The neutral vector format</w:t>
      </w:r>
      <w:r>
        <w:t xml:space="preserve"> — </w:t>
      </w:r>
      <w:r>
        <w:rPr>
          <w:rFonts w:ascii="Consolas" w:cs="Consolas" w:eastAsia="Consolas" w:hAnsi="Consolas"/>
          <w:color w:val="1A1D21"/>
          <w:sz w:val="18"/>
          <w:szCs w:val="18"/>
          <w:shd w:fill="F2F1ED" w:color="auto" w:val="clear"/>
        </w:rPr>
        <w:t xml:space="preserve">bus-vector-1</w:t>
      </w:r>
      <w:r>
        <w:t xml:space="preserve"> is named in 13.4.3 and not specified. Figure mode is portable in principle and not in practice until it is.</w:t>
      </w:r>
    </w:p>
    <w:p>
      <w:pPr>
        <w:pStyle w:val="BulletCopy"/>
        <w:numPr>
          <w:ilvl w:val="0"/>
          <w:numId w:val="2"/>
        </w:numPr>
      </w:pPr>
      <w:r>
        <w:rPr>
          <w:b/>
          <w:bCs/>
          <w:color w:val="1A1D21"/>
        </w:rPr>
        <w:t xml:space="preserve">Extraction of deployed control logic</w:t>
      </w:r>
      <w:r>
        <w:t xml:space="preserve"> — </w:t>
      </w:r>
      <w:r>
        <w:t xml:space="preserve">sequences are referenced, not extracted. ASHRAE 231 is design-time. Extraction has no precedent in any standard and is the largest gap between this document and the charter’s reconstruction promise.</w:t>
      </w:r>
    </w:p>
    <w:p>
      <w:pPr>
        <w:pStyle w:val="BulletCopy"/>
        <w:numPr>
          <w:ilvl w:val="0"/>
          <w:numId w:val="2"/>
        </w:numPr>
      </w:pPr>
      <w:r>
        <w:rPr>
          <w:b/>
          <w:bCs/>
          <w:color w:val="1A1D21"/>
        </w:rPr>
        <w:t xml:space="preserve">Analytic rule portability</w:t>
      </w:r>
      <w:r>
        <w:t xml:space="preserve"> — </w:t>
      </w:r>
      <w:r>
        <w:t xml:space="preserve">the extension interface attaches a result. It cannot carry the rule that produced it, and the boundary between a portable rule and a proprietary method is genuinely unclear.</w:t>
      </w:r>
    </w:p>
    <w:p>
      <w:pPr>
        <w:pStyle w:val="BulletCopy"/>
        <w:numPr>
          <w:ilvl w:val="0"/>
          <w:numId w:val="2"/>
        </w:numPr>
      </w:pPr>
      <w:r>
        <w:rPr>
          <w:b/>
          <w:bCs/>
          <w:color w:val="1A1D21"/>
        </w:rPr>
        <w:t xml:space="preserve">Signature formats</w:t>
      </w:r>
      <w:r>
        <w:t xml:space="preserve"> — </w:t>
      </w:r>
      <w:r>
        <w:t xml:space="preserve">the manifest admits signatures and constrains nothing. This matters more now that actuation travels, and should be settled before any package is relied on as evidence.</w:t>
      </w:r>
    </w:p>
    <w:p>
      <w:pPr>
        <w:pStyle w:val="BulletCopy"/>
        <w:numPr>
          <w:ilvl w:val="0"/>
          <w:numId w:val="2"/>
        </w:numPr>
      </w:pPr>
      <w:r>
        <w:rPr>
          <w:b/>
          <w:bCs/>
          <w:color w:val="1A1D21"/>
        </w:rPr>
        <w:t xml:space="preserve">Revision under concurrent editing</w:t>
      </w:r>
      <w:r>
        <w:t xml:space="preserve"> — </w:t>
      </w:r>
      <w:r>
        <w:t xml:space="preserve">revision is defined for a single writer. Two systems editing the same building and exchanging packages is not yet specified.</w:t>
      </w:r>
    </w:p>
    <w:p>
      <w:pPr>
        <w:pStyle w:val="BulletCopy"/>
        <w:numPr>
          <w:ilvl w:val="0"/>
          <w:numId w:val="2"/>
        </w:numPr>
      </w:pPr>
      <w:r>
        <w:rPr>
          <w:b/>
          <w:bCs/>
          <w:color w:val="1A1D21"/>
        </w:rPr>
        <w:t xml:space="preserve">Package scale</w:t>
      </w:r>
      <w:r>
        <w:t xml:space="preserve"> — </w:t>
      </w:r>
      <w:r>
        <w:t xml:space="preserve">nothing bounds entity count or decompressed size. Test RT-14 measures scale without setting a threshold. A real portfolio export will find the limit before the standard does.</w:t>
      </w:r>
    </w:p>
    <w:p>
      <w:pPr>
        <w:pStyle w:val="Heading2"/>
      </w:pPr>
      <w:r>
        <w:rPr>
          <w:color w:val="8C6D46"/>
        </w:rPr>
        <w:t xml:space="preserve">F.2</w:t>
      </w:r>
      <w:r>
        <w:t xml:space="preserve">  </w:t>
      </w:r>
      <w:r>
        <w:t xml:space="preserve">Decisions that merit challenge</w:t>
      </w:r>
    </w:p>
    <w:p>
      <w:pPr>
        <w:pStyle w:val="BulletCopy"/>
        <w:numPr>
          <w:ilvl w:val="0"/>
          <w:numId w:val="2"/>
        </w:numPr>
      </w:pPr>
      <w:r>
        <w:rPr>
          <w:b/>
          <w:bCs/>
          <w:color w:val="1A1D21"/>
        </w:rPr>
        <w:t xml:space="preserve">No equipment taxonomy</w:t>
      </w:r>
      <w:r>
        <w:t xml:space="preserve"> — </w:t>
      </w:r>
      <w:r>
        <w:t xml:space="preserve">defended in 1.4 and 5.3.3. The counter-argument is that a package whose classifications are all in vocabularies the receiver does not implement is portable in form and not in substance. Property definitions (7.8) are the mitigation; whether they are sufficient is untested.</w:t>
      </w:r>
    </w:p>
    <w:p>
      <w:pPr>
        <w:pStyle w:val="BulletCopy"/>
        <w:numPr>
          <w:ilvl w:val="0"/>
          <w:numId w:val="2"/>
        </w:numPr>
      </w:pPr>
      <w:r>
        <w:rPr>
          <w:b/>
          <w:bCs/>
          <w:color w:val="1A1D21"/>
        </w:rPr>
        <w:t xml:space="preserve">Relationships as entities</w:t>
      </w:r>
      <w:r>
        <w:t xml:space="preserve"> — </w:t>
      </w:r>
      <w:r>
        <w:t xml:space="preserve">roughly a third of package size. A compact form for relationships carrying no provenance is worth considering.</w:t>
      </w:r>
    </w:p>
    <w:p>
      <w:pPr>
        <w:pStyle w:val="BulletCopy"/>
        <w:numPr>
          <w:ilvl w:val="0"/>
          <w:numId w:val="2"/>
        </w:numPr>
      </w:pPr>
      <w:r>
        <w:rPr>
          <w:b/>
          <w:bCs/>
          <w:color w:val="1A1D21"/>
        </w:rPr>
        <w:t xml:space="preserve">Forty symbol roles</w:t>
      </w:r>
      <w:r>
        <w:t xml:space="preserve"> — </w:t>
      </w:r>
      <w:r>
        <w:t xml:space="preserve">small enough to ratify, possibly too small to be useful. The fallback rule means the cost of being wrong is low, but the first implementer to hit the ceiling should say so.</w:t>
      </w:r>
    </w:p>
    <w:p>
      <w:pPr>
        <w:pStyle w:val="BulletCopy"/>
        <w:numPr>
          <w:ilvl w:val="0"/>
          <w:numId w:val="2"/>
        </w:numPr>
      </w:pPr>
      <w:r>
        <w:rPr>
          <w:b/>
          <w:bCs/>
          <w:color w:val="1A1D21"/>
        </w:rPr>
        <w:t xml:space="preserve">Free-text knowledge notes</w:t>
      </w:r>
      <w:r>
        <w:t xml:space="preserve"> — </w:t>
      </w:r>
      <w:r>
        <w:t xml:space="preserve">defended in 8.9 on the grounds that structure encourages discarding what does not fit. The opposite argument, that free text cannot be reasoned over and will be ignored, is also strong.</w:t>
      </w:r>
    </w:p>
    <w:p>
      <w:pPr>
        <w:pStyle w:val="BulletCopy"/>
        <w:numPr>
          <w:ilvl w:val="0"/>
          <w:numId w:val="2"/>
        </w:numPr>
      </w:pPr>
      <w:r>
        <w:rPr>
          <w:b/>
          <w:bCs/>
          <w:color w:val="1A1D21"/>
        </w:rPr>
        <w:t xml:space="preserve">Vendor-tree media type</w:t>
      </w:r>
      <w:r>
        <w:t xml:space="preserve"> — </w:t>
      </w:r>
      <w:r>
        <w:t xml:space="preserve">correct today and wrong as soon as a governance body exists. The transition needs specifying before adoption, not after.</w:t>
      </w:r>
    </w:p>
    <w:p>
      <w:pPr>
        <w:pStyle w:val="Heading2"/>
      </w:pPr>
      <w:r>
        <w:rPr>
          <w:color w:val="8C6D46"/>
        </w:rPr>
        <w:t xml:space="preserve">F.3</w:t>
      </w:r>
      <w:r>
        <w:t xml:space="preserve">  </w:t>
      </w:r>
      <w:r>
        <w:t xml:space="preserve">What review is asked for</w:t>
      </w:r>
    </w:p>
    <w:p>
      <w:pPr>
        <w:pStyle w:val="BodyCopy"/>
      </w:pPr>
      <w:r>
        <w:t xml:space="preserve">Implementers are asked to attempt an export from a real system at profile </w:t>
      </w:r>
      <w:r>
        <w:rPr>
          <w:rFonts w:ascii="Consolas" w:cs="Consolas" w:eastAsia="Consolas" w:hAnsi="Consolas"/>
          <w:color w:val="1A1D21"/>
          <w:sz w:val="18"/>
          <w:szCs w:val="18"/>
          <w:shd w:fill="F2F1ED" w:color="auto" w:val="clear"/>
        </w:rPr>
        <w:t xml:space="preserve">core-intent</w:t>
      </w:r>
      <w:r>
        <w:t xml:space="preserve">, and separately to attempt a graphics export, and to report: what the exporting system holds that the model cannot express; which completeness reason codes were needed and which were missing; how many symbol roles were unavailable; and what the export could not do without vendor assistance.</w:t>
      </w:r>
    </w:p>
    <w:p>
      <w:pPr>
        <w:pStyle w:val="BodyCopy"/>
      </w:pPr>
      <w:r>
        <w:t xml:space="preserve">The last question is the one the charter cares about most and the one a schema cannot answer.</w:t>
      </w:r>
    </w:p>
    <w:p>
      <w:pPr>
        <w:spacing w:after="240"/>
      </w:pPr>
      <w:r>
        <w:rPr>
          <w:sz w:val="2"/>
          <w:szCs w:val="2"/>
        </w:rPr>
        <w:t xml:space="preserve"/>
      </w:r>
    </w:p>
    <w:tbl>
      <w:tblPr>
        <w:tblW w:type="dxa" w:w="907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17191D" w:color="auto" w:val="clear"/>
            <w:tcMar>
              <w:top w:type="dxa" w:w="340"/>
              <w:left w:type="dxa" w:w="340"/>
              <w:bottom w:type="dxa" w:w="340"/>
              <w:right w:type="dxa" w:w="340"/>
            </w:tcMar>
          </w:tcPr>
          <w:p>
            <w:pPr>
              <w:spacing w:after="140" w:line="340"/>
            </w:pPr>
            <w:r>
              <w:rPr>
                <w:rFonts w:ascii="Georgia" w:cs="Georgia" w:eastAsia="Georgia" w:hAnsi="Georgia"/>
                <w:color w:val="FFFFFF"/>
                <w:sz w:val="30"/>
                <w:szCs w:val="30"/>
              </w:rPr>
              <w:t xml:space="preserve">Take my building with me.</w:t>
            </w:r>
          </w:p>
          <w:p>
            <w:pPr>
              <w:spacing w:after="0" w:line="300"/>
            </w:pPr>
            <w:r>
              <w:rPr>
                <w:rFonts w:ascii="Calibri" w:cs="Calibri" w:eastAsia="Calibri" w:hAnsi="Calibri"/>
                <w:color w:val="E6E2D9"/>
                <w:sz w:val="20"/>
                <w:szCs w:val="20"/>
              </w:rPr>
              <w:t xml:space="preserve">Not a data dump. Not a proprietary backup. A portable, durable, reconstructable understanding of the building the owner already paid to create.</w:t>
            </w:r>
          </w:p>
        </w:tc>
      </w:tr>
    </w:tbl>
    <w:p>
      <w:pPr>
        <w:spacing w:after="320"/>
      </w:pPr>
      <w:r>
        <w:rPr>
          <w:sz w:val="2"/>
          <w:szCs w:val="2"/>
        </w:rPr>
        <w:t xml:space="preserve"/>
      </w:r>
    </w:p>
    <w:p>
      <w:pPr>
        <w:spacing w:after="0"/>
        <w:jc w:val="center"/>
      </w:pPr>
      <w:r>
        <w:rPr>
          <w:rFonts w:ascii="Calibri" w:cs="Calibri" w:eastAsia="Calibri" w:hAnsi="Calibri"/>
          <w:color w:val="70757C"/>
          <w:spacing w:val="40"/>
          <w:sz w:val="15"/>
          <w:szCs w:val="15"/>
        </w:rPr>
        <w:t xml:space="preserve">END OF BUS-1 · VERSION 0.2 · WORKING DRAFT</w:t>
      </w:r>
    </w:p>
    <w:sectPr>
      <w:headerReference w:type="default" r:id="rId7"/>
      <w:headerReference w:type="first" r:id="rId8"/>
      <w:footerReference w:type="default" r:id="rId9"/>
      <w:footerReference w:type="first" r:id="rId10"/>
      <w:pgSz w:w="12240" w:h="15840" w:orient="portrait"/>
      <w:pgMar w:top="1440" w:right="1584" w:bottom="1180" w:left="1584" w:header="720" w:footer="640"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4C9" w:sz="4" w:space="8"/>
      </w:pBdr>
      <w:tabs>
        <w:tab w:val="right" w:pos="9072"/>
      </w:tabs>
      <w:spacing w:after="0" w:before="0"/>
    </w:pPr>
    <w:r>
      <w:rPr>
        <w:rFonts w:ascii="Calibri" w:cs="Calibri" w:eastAsia="Calibri" w:hAnsi="Calibri"/>
        <w:color w:val="70757C"/>
        <w:sz w:val="15"/>
        <w:szCs w:val="15"/>
      </w:rPr>
      <w:t xml:space="preserve">Building Understanding Standard  ·  Part 1  ·  July 2026</w:t>
    </w:r>
    <w:r>
      <w:t xml:space="preserve">	</w:t>
    </w:r>
    <w:r>
      <w:rPr>
        <w:rFonts w:ascii="Georgia" w:cs="Georgia" w:eastAsia="Georgia" w:hAnsi="Georgia"/>
        <w:color w:val="1A1D21"/>
        <w:sz w:val="18"/>
        <w:szCs w:val="18"/>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t xml:space="preserv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D4C9" w:sz="4" w:space="6"/>
      </w:pBdr>
      <w:tabs>
        <w:tab w:val="right" w:pos="9072"/>
      </w:tabs>
      <w:spacing w:after="0"/>
    </w:pPr>
    <w:r>
      <w:rPr>
        <w:rFonts w:ascii="Calibri" w:cs="Calibri" w:eastAsia="Calibri" w:hAnsi="Calibri"/>
        <w:b/>
        <w:bCs/>
        <w:color w:val="1A1D21"/>
        <w:spacing w:val="26"/>
        <w:sz w:val="15"/>
        <w:szCs w:val="15"/>
      </w:rPr>
      <w:t xml:space="preserve">BUS-1  CORE MODEL, PRESENTATION, AND EXCHANGE PACKAGE</w:t>
    </w:r>
    <w:r>
      <w:t xml:space="preserve">	</w:t>
    </w:r>
    <w:r>
      <w:rPr>
        <w:rFonts w:ascii="Calibri" w:cs="Calibri" w:eastAsia="Calibri" w:hAnsi="Calibri"/>
        <w:color w:val="70757C"/>
        <w:spacing w:val="26"/>
        <w:sz w:val="15"/>
        <w:szCs w:val="15"/>
      </w:rPr>
      <w:t xml:space="preserve">v0.2 WORKING DRAFT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20"/>
      </w:pPr>
      <w:rPr>
        <w:rFonts w:ascii="Calibri" w:cs="Calibri" w:eastAsia="Calibri" w:hAnsi="Calibri"/>
        <w:color w:val="8C6D46"/>
        <w:sz w:val="20"/>
        <w:szCs w:val="20"/>
      </w:rPr>
    </w:lvl>
  </w:abstractNum>
  <w:abstractNum w:abstractNumId="3" w15:restartNumberingAfterBreak="0">
    <w:multiLevelType w:val="hybridMultilevel"/>
    <w:lvl w:ilvl="0" w15:tentative="1">
      <w:start w:val="1"/>
      <w:numFmt w:val="decimal"/>
      <w:lvlText w:val="%1."/>
      <w:lvlJc w:val="left"/>
      <w:pPr>
        <w:ind w:left="400" w:hanging="280"/>
      </w:pPr>
      <w:rPr>
        <w:rFonts w:ascii="Calibri" w:cs="Calibri" w:eastAsia="Calibri" w:hAnsi="Calibri"/>
        <w:b/>
        <w:bCs/>
        <w:color w:val="8C6D46"/>
        <w:sz w:val="20"/>
        <w:szCs w:val="20"/>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E3238"/>
        <w:sz w:val="21"/>
        <w:szCs w:val="21"/>
      </w:rPr>
    </w:rPrDefault>
    <w:pPrDefault>
      <w:pPr>
        <w:spacing w:after="180"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keepNext/>
      <w:spacing w:after="200" w:before="480" w:line="360"/>
      <w:outlineLvl w:val="0"/>
    </w:pPr>
    <w:rPr>
      <w:rFonts w:ascii="Georgia" w:cs="Georgia" w:eastAsia="Georgia" w:hAnsi="Georgia"/>
      <w:b w:val="false"/>
      <w:bCs w:val="false"/>
      <w:color w:val="1A1D21"/>
      <w:sz w:val="32"/>
      <w:szCs w:val="32"/>
    </w:rPr>
  </w:style>
  <w:style w:type="paragraph" w:styleId="Heading2">
    <w:name w:val="Heading 2"/>
    <w:basedOn w:val="Normal"/>
    <w:next w:val="Normal"/>
    <w:qFormat/>
    <w:pPr>
      <w:keepNext/>
      <w:spacing w:after="130" w:before="340" w:line="300"/>
      <w:outlineLvl w:val="1"/>
    </w:pPr>
    <w:rPr>
      <w:rFonts w:ascii="Georgia" w:cs="Georgia" w:eastAsia="Georgia" w:hAnsi="Georgia"/>
      <w:b w:val="false"/>
      <w:bCs w:val="false"/>
      <w:color w:val="1A1D21"/>
      <w:sz w:val="23"/>
      <w:szCs w:val="23"/>
    </w:rPr>
  </w:style>
  <w:style w:type="paragraph" w:styleId="Heading3">
    <w:name w:val="Heading 3"/>
    <w:basedOn w:val="Normal"/>
    <w:next w:val="Normal"/>
    <w:qFormat/>
    <w:pPr>
      <w:keepNext/>
      <w:spacing w:after="110" w:before="260" w:line="280"/>
      <w:outlineLvl w:val="2"/>
    </w:pPr>
    <w:rPr>
      <w:rFonts w:ascii="Calibri" w:cs="Calibri" w:eastAsia="Calibri" w:hAnsi="Calibri"/>
      <w:b/>
      <w:bCs/>
      <w:color w:val="1A1D21"/>
      <w:sz w:val="21"/>
      <w:szCs w:val="21"/>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BodyCopy">
    <w:name w:val="Body Copy"/>
    <w:basedOn w:val="Normal"/>
    <w:qFormat/>
    <w:pPr>
      <w:spacing w:after="170" w:line="300"/>
    </w:pPr>
    <w:rPr>
      <w:rFonts w:ascii="Calibri" w:cs="Calibri" w:eastAsia="Calibri" w:hAnsi="Calibri"/>
      <w:color w:val="2E3238"/>
      <w:sz w:val="21"/>
      <w:szCs w:val="21"/>
    </w:rPr>
  </w:style>
  <w:style w:type="paragraph" w:styleId="BulletCopy">
    <w:name w:val="Bullet Copy"/>
    <w:basedOn w:val="Normal"/>
    <w:qFormat/>
    <w:pPr>
      <w:spacing w:after="120" w:line="290"/>
      <w:ind w:left="340" w:hanging="220"/>
    </w:pPr>
    <w:rPr>
      <w:rFonts w:ascii="Calibri" w:cs="Calibri" w:eastAsia="Calibri" w:hAnsi="Calibri"/>
      <w:color w:val="2E3238"/>
      <w:sz w:val="21"/>
      <w:szCs w:val="21"/>
    </w:rPr>
  </w:style>
  <w:style w:type="paragraph" w:styleId="DefCopy">
    <w:name w:val="Definition Copy"/>
    <w:basedOn w:val="Normal"/>
    <w:qFormat/>
    <w:pPr>
      <w:spacing w:after="130" w:line="290"/>
      <w:ind w:left="340"/>
    </w:pPr>
    <w:rPr>
      <w:rFonts w:ascii="Calibri" w:cs="Calibri" w:eastAsia="Calibri" w:hAnsi="Calibri"/>
      <w:color w:val="2E3238"/>
      <w:sz w:val="20"/>
      <w:szCs w:val="20"/>
    </w:rPr>
  </w:style>
  <w:style w:type="paragraph" w:styleId="NoteCopy">
    <w:name w:val="Note Copy"/>
    <w:basedOn w:val="Normal"/>
    <w:qFormat/>
    <w:pPr>
      <w:spacing w:after="180" w:line="280"/>
      <w:ind w:left="340"/>
    </w:pPr>
    <w:rPr>
      <w:rFonts w:ascii="Calibri" w:cs="Calibri" w:eastAsia="Calibri" w:hAnsi="Calibri"/>
      <w:color w:val="70757C"/>
      <w:sz w:val="18"/>
      <w:szCs w:val="18"/>
    </w:rPr>
  </w:style>
  <w:style w:type="paragraph" w:styleId="Eyebrow">
    <w:name w:val="Eyebrow"/>
    <w:basedOn w:val="Normal"/>
    <w:qFormat/>
    <w:pPr>
      <w:spacing w:after="120"/>
    </w:pPr>
    <w:rPr>
      <w:rFonts w:ascii="Calibri" w:cs="Calibri" w:eastAsia="Calibri" w:hAnsi="Calibri"/>
      <w:b/>
      <w:bCs/>
      <w:color w:val="8C6D46"/>
      <w:spacing w:val="60"/>
      <w:sz w:val="17"/>
      <w:szCs w:val="17"/>
    </w:rPr>
  </w:style>
  <w:style w:type="paragraph" w:styleId="MetaNote">
    <w:name w:val="Meta Note"/>
    <w:basedOn w:val="Normal"/>
    <w:qFormat/>
    <w:pPr>
      <w:spacing w:after="220" w:line="280"/>
    </w:pPr>
    <w:rPr>
      <w:rFonts w:ascii="Calibri" w:cs="Calibri" w:eastAsia="Calibri" w:hAnsi="Calibri"/>
      <w:i/>
      <w:iCs/>
      <w:color w:val="70757C"/>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BUS-1: Core Information Model, Portable Presentation, and Exchange Package, Version 0.2</dc:title>
  <dc:creator>Building Understanding Standard</dc:creator>
  <dc:description>Part 1 of the Building Understanding Standard. Working draft v0.2.</dc:description>
  <cp:lastModifiedBy>Un-named</cp:lastModifiedBy>
  <cp:revision>1</cp:revision>
  <dcterms:created xsi:type="dcterms:W3CDTF">2026-07-30T18:47:05.183Z</dcterms:created>
  <dcterms:modified xsi:type="dcterms:W3CDTF">2026-07-30T18:47:05.183Z</dcterms:modified>
</cp:coreProperties>
</file>

<file path=docProps/custom.xml><?xml version="1.0" encoding="utf-8"?>
<Properties xmlns="http://schemas.openxmlformats.org/officeDocument/2006/custom-properties" xmlns:vt="http://schemas.openxmlformats.org/officeDocument/2006/docPropsVTypes"/>
</file>